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116E" w:rsidRPr="0052116E" w:rsidRDefault="0052116E" w:rsidP="0052116E">
      <w:pPr>
        <w:spacing w:after="0" w:line="240" w:lineRule="auto"/>
        <w:jc w:val="center"/>
        <w:rPr>
          <w:rFonts w:cstheme="minorHAnsi"/>
          <w:sz w:val="24"/>
          <w:szCs w:val="24"/>
        </w:rPr>
      </w:pPr>
      <w:r w:rsidRPr="0052116E">
        <w:rPr>
          <w:rFonts w:cstheme="minorHAnsi"/>
          <w:sz w:val="24"/>
          <w:szCs w:val="24"/>
        </w:rPr>
        <w:t>Summary of Material Modifications</w:t>
      </w:r>
      <w:r w:rsidR="00153718">
        <w:rPr>
          <w:rFonts w:cstheme="minorHAnsi"/>
          <w:sz w:val="24"/>
          <w:szCs w:val="24"/>
        </w:rPr>
        <w:t xml:space="preserve"> August 2018</w:t>
      </w:r>
    </w:p>
    <w:p w:rsidR="0052116E" w:rsidRPr="0052116E" w:rsidRDefault="0052116E" w:rsidP="0052116E">
      <w:pPr>
        <w:spacing w:after="0" w:line="240" w:lineRule="auto"/>
        <w:jc w:val="center"/>
        <w:rPr>
          <w:rFonts w:cstheme="minorHAnsi"/>
          <w:sz w:val="24"/>
          <w:szCs w:val="24"/>
        </w:rPr>
      </w:pPr>
    </w:p>
    <w:p w:rsidR="0052116E" w:rsidRPr="0052116E" w:rsidRDefault="0052116E" w:rsidP="0052116E">
      <w:pPr>
        <w:spacing w:after="0" w:line="240" w:lineRule="auto"/>
        <w:rPr>
          <w:rFonts w:cstheme="minorHAnsi"/>
          <w:sz w:val="24"/>
          <w:szCs w:val="24"/>
        </w:rPr>
      </w:pPr>
      <w:r w:rsidRPr="0052116E">
        <w:rPr>
          <w:rFonts w:cstheme="minorHAnsi"/>
          <w:sz w:val="24"/>
          <w:szCs w:val="24"/>
        </w:rPr>
        <w:t>This is a Summary of Material Modifications (“SMM”) for the January 1, 2016 Benefit Booklet. We suggest you keep this SMM with your Benefit Booklet.</w:t>
      </w:r>
      <w:r>
        <w:rPr>
          <w:rFonts w:cstheme="minorHAnsi"/>
          <w:sz w:val="24"/>
          <w:szCs w:val="24"/>
        </w:rPr>
        <w:t xml:space="preserve">  This </w:t>
      </w:r>
      <w:r w:rsidR="00153718">
        <w:rPr>
          <w:rFonts w:cstheme="minorHAnsi"/>
          <w:sz w:val="24"/>
          <w:szCs w:val="24"/>
        </w:rPr>
        <w:t>is the SMM for Amendments 4 and 5.</w:t>
      </w:r>
    </w:p>
    <w:p w:rsidR="0052116E" w:rsidRPr="0052116E" w:rsidRDefault="0052116E" w:rsidP="0052116E">
      <w:pPr>
        <w:spacing w:after="0" w:line="240" w:lineRule="auto"/>
        <w:rPr>
          <w:rFonts w:cstheme="minorHAnsi"/>
          <w:sz w:val="24"/>
          <w:szCs w:val="24"/>
        </w:rPr>
      </w:pPr>
      <w:bookmarkStart w:id="0" w:name="_GoBack"/>
      <w:bookmarkEnd w:id="0"/>
    </w:p>
    <w:p w:rsidR="0052116E" w:rsidRPr="0052116E" w:rsidRDefault="0052116E" w:rsidP="0052116E">
      <w:pPr>
        <w:keepNext/>
        <w:numPr>
          <w:ilvl w:val="0"/>
          <w:numId w:val="7"/>
        </w:numPr>
        <w:spacing w:after="0" w:line="240" w:lineRule="auto"/>
        <w:ind w:left="0" w:firstLine="0"/>
        <w:jc w:val="both"/>
        <w:rPr>
          <w:rFonts w:cstheme="minorHAnsi"/>
          <w:sz w:val="24"/>
          <w:szCs w:val="24"/>
        </w:rPr>
      </w:pPr>
      <w:r w:rsidRPr="0052116E">
        <w:rPr>
          <w:rFonts w:cstheme="minorHAnsi"/>
          <w:sz w:val="24"/>
          <w:szCs w:val="24"/>
        </w:rPr>
        <w:t>The title of the Benefit Booklet is amended to read as follows:</w:t>
      </w:r>
    </w:p>
    <w:p w:rsidR="0052116E" w:rsidRPr="0052116E" w:rsidRDefault="0052116E" w:rsidP="0052116E">
      <w:pPr>
        <w:keepNext/>
        <w:spacing w:after="0" w:line="240" w:lineRule="auto"/>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LOCAL UNION 598 PLUMBING &amp; PIPEFITTING INDUSTRY HEALTH &amp; WELFARE PLAN DESCRIBING MEDICAL, DENTAL &amp; VISION BENEFITS FOR EMPLOYEES &amp; DEPENDENTS AND LIFE INSURANCE, VACATION/HOLIDAY BENEFITS, SICK LEAVE BENEFITS &amp; HEALTH REIMBURSEMENT ARRANGEMENT FOR EMPLOYEES</w:t>
      </w:r>
    </w:p>
    <w:p w:rsidR="0052116E" w:rsidRPr="0052116E" w:rsidRDefault="0052116E" w:rsidP="0052116E">
      <w:pPr>
        <w:spacing w:after="0" w:line="240" w:lineRule="auto"/>
        <w:jc w:val="both"/>
        <w:rPr>
          <w:rFonts w:cstheme="minorHAnsi"/>
          <w:sz w:val="24"/>
          <w:szCs w:val="24"/>
        </w:rPr>
      </w:pPr>
    </w:p>
    <w:p w:rsidR="0052116E" w:rsidRPr="0052116E" w:rsidRDefault="0052116E" w:rsidP="0052116E">
      <w:pPr>
        <w:keepNext/>
        <w:numPr>
          <w:ilvl w:val="0"/>
          <w:numId w:val="7"/>
        </w:numPr>
        <w:spacing w:after="0" w:line="240" w:lineRule="auto"/>
        <w:ind w:left="0" w:firstLine="0"/>
        <w:jc w:val="both"/>
        <w:rPr>
          <w:rFonts w:cstheme="minorHAnsi"/>
          <w:sz w:val="24"/>
          <w:szCs w:val="24"/>
        </w:rPr>
      </w:pPr>
      <w:r w:rsidRPr="0052116E">
        <w:rPr>
          <w:rFonts w:cstheme="minorHAnsi"/>
          <w:sz w:val="24"/>
          <w:szCs w:val="24"/>
        </w:rPr>
        <w:t>The website address for the Local Union 598 Plumbing &amp; Pipefitting Industry Health &amp; Welfare Fund in the Benefit Booklet is amended to read as follows:</w:t>
      </w:r>
    </w:p>
    <w:p w:rsidR="0052116E" w:rsidRPr="0052116E" w:rsidRDefault="0052116E" w:rsidP="0052116E">
      <w:pPr>
        <w:keepNext/>
        <w:spacing w:after="0" w:line="240" w:lineRule="auto"/>
        <w:jc w:val="both"/>
        <w:rPr>
          <w:rFonts w:cstheme="minorHAnsi"/>
          <w:sz w:val="24"/>
          <w:szCs w:val="24"/>
        </w:rPr>
      </w:pPr>
    </w:p>
    <w:p w:rsidR="0052116E" w:rsidRPr="0052116E" w:rsidRDefault="0052116E" w:rsidP="0052116E">
      <w:pPr>
        <w:keepNext/>
        <w:spacing w:after="0" w:line="240" w:lineRule="auto"/>
        <w:ind w:left="1080" w:right="720"/>
        <w:jc w:val="both"/>
        <w:rPr>
          <w:rFonts w:cstheme="minorHAnsi"/>
          <w:sz w:val="24"/>
          <w:szCs w:val="24"/>
        </w:rPr>
      </w:pPr>
      <w:r w:rsidRPr="0052116E">
        <w:rPr>
          <w:rFonts w:cstheme="minorHAnsi"/>
          <w:sz w:val="24"/>
          <w:szCs w:val="24"/>
        </w:rPr>
        <w:t>www.ua598benefits.org</w:t>
      </w:r>
    </w:p>
    <w:p w:rsidR="0052116E" w:rsidRPr="0052116E" w:rsidRDefault="0052116E" w:rsidP="0052116E">
      <w:pPr>
        <w:keepNext/>
        <w:spacing w:after="0" w:line="240" w:lineRule="auto"/>
        <w:jc w:val="both"/>
        <w:rPr>
          <w:rFonts w:cstheme="minorHAnsi"/>
          <w:sz w:val="24"/>
          <w:szCs w:val="24"/>
        </w:rPr>
      </w:pPr>
    </w:p>
    <w:p w:rsidR="0052116E" w:rsidRPr="0052116E" w:rsidRDefault="0052116E" w:rsidP="0052116E">
      <w:pPr>
        <w:keepNext/>
        <w:numPr>
          <w:ilvl w:val="0"/>
          <w:numId w:val="7"/>
        </w:numPr>
        <w:spacing w:after="0" w:line="240" w:lineRule="auto"/>
        <w:ind w:left="0" w:firstLine="0"/>
        <w:jc w:val="both"/>
        <w:rPr>
          <w:rFonts w:cstheme="minorHAnsi"/>
          <w:sz w:val="24"/>
          <w:szCs w:val="24"/>
        </w:rPr>
      </w:pPr>
      <w:r w:rsidRPr="0052116E">
        <w:rPr>
          <w:rFonts w:cstheme="minorHAnsi"/>
          <w:sz w:val="24"/>
          <w:szCs w:val="24"/>
        </w:rPr>
        <w:t xml:space="preserve">Effective June 15, 2018, the address for the Local Union 598 Plumbing &amp; Pipefitting Industry Health &amp; Welfare Fund and/or </w:t>
      </w:r>
      <w:proofErr w:type="spellStart"/>
      <w:r w:rsidRPr="0052116E">
        <w:rPr>
          <w:rFonts w:cstheme="minorHAnsi"/>
          <w:sz w:val="24"/>
          <w:szCs w:val="24"/>
        </w:rPr>
        <w:t>BeneSys</w:t>
      </w:r>
      <w:proofErr w:type="spellEnd"/>
      <w:r w:rsidRPr="0052116E">
        <w:rPr>
          <w:rFonts w:cstheme="minorHAnsi"/>
          <w:sz w:val="24"/>
          <w:szCs w:val="24"/>
        </w:rPr>
        <w:t>, Inc. in the Benefit Booklet is amended to read as follows:</w:t>
      </w:r>
    </w:p>
    <w:p w:rsidR="0052116E" w:rsidRPr="0052116E" w:rsidRDefault="0052116E" w:rsidP="0052116E">
      <w:pPr>
        <w:keepNext/>
        <w:spacing w:after="0" w:line="240" w:lineRule="auto"/>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5331 SW Macadam Avenue</w:t>
      </w: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Suite 258, PMB #116</w:t>
      </w: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Portland, OR  97239</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The Trust Office’s physical address is changed to:</w:t>
      </w: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5331 SW Macadam Avenue, suite 220</w:t>
      </w: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Portland, OR  97239</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pStyle w:val="ListParagraph"/>
        <w:numPr>
          <w:ilvl w:val="0"/>
          <w:numId w:val="7"/>
        </w:numPr>
        <w:spacing w:after="0" w:line="240" w:lineRule="auto"/>
        <w:ind w:left="720"/>
        <w:rPr>
          <w:rFonts w:cstheme="minorHAnsi"/>
          <w:sz w:val="24"/>
          <w:szCs w:val="24"/>
        </w:rPr>
      </w:pPr>
      <w:r w:rsidRPr="0052116E">
        <w:rPr>
          <w:rFonts w:cstheme="minorHAnsi"/>
          <w:sz w:val="24"/>
          <w:szCs w:val="24"/>
        </w:rPr>
        <w:t>All references to “Savings Plan” are changed to read Vacation/Holiday benefits.</w:t>
      </w:r>
    </w:p>
    <w:p w:rsidR="0052116E" w:rsidRPr="0052116E" w:rsidRDefault="0052116E" w:rsidP="0052116E">
      <w:pPr>
        <w:spacing w:after="0" w:line="240" w:lineRule="auto"/>
        <w:rPr>
          <w:rFonts w:cstheme="minorHAnsi"/>
          <w:sz w:val="24"/>
          <w:szCs w:val="24"/>
        </w:rPr>
      </w:pPr>
    </w:p>
    <w:p w:rsidR="0052116E" w:rsidRPr="0052116E" w:rsidRDefault="0052116E" w:rsidP="0052116E">
      <w:pPr>
        <w:keepNext/>
        <w:numPr>
          <w:ilvl w:val="0"/>
          <w:numId w:val="7"/>
        </w:numPr>
        <w:spacing w:after="0" w:line="240" w:lineRule="auto"/>
        <w:ind w:left="0" w:firstLine="0"/>
        <w:jc w:val="both"/>
        <w:rPr>
          <w:rFonts w:cstheme="minorHAnsi"/>
          <w:sz w:val="24"/>
          <w:szCs w:val="24"/>
        </w:rPr>
      </w:pPr>
      <w:r w:rsidRPr="0052116E">
        <w:rPr>
          <w:rFonts w:cstheme="minorHAnsi"/>
          <w:sz w:val="24"/>
          <w:szCs w:val="24"/>
        </w:rPr>
        <w:t>Effective April 10, 2018, page 129 of the Benefit Booklet is amended by adding a new paragraph immediately before the last paragraph to read as follows:</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 xml:space="preserve">For COBRA payments to continue health and welfare coverage, </w:t>
      </w:r>
      <w:proofErr w:type="gramStart"/>
      <w:r w:rsidRPr="0052116E">
        <w:rPr>
          <w:rFonts w:cstheme="minorHAnsi"/>
          <w:sz w:val="24"/>
          <w:szCs w:val="24"/>
        </w:rPr>
        <w:t>You</w:t>
      </w:r>
      <w:proofErr w:type="gramEnd"/>
      <w:r w:rsidRPr="0052116E">
        <w:rPr>
          <w:rFonts w:cstheme="minorHAnsi"/>
          <w:sz w:val="24"/>
          <w:szCs w:val="24"/>
        </w:rPr>
        <w:t xml:space="preserve"> can either (i) pay the COBRA premium and then complete a claim form to receive reimbursement or (ii) complete a claim form and request the COBRA premium be deducted from Your HRA Account.  The claim form requesting the COBRA premium be deducted from Your HRA Account must be received by the Plan Administrator prior to the final date to pay the COBRA premium.  </w:t>
      </w:r>
    </w:p>
    <w:p w:rsidR="0052116E" w:rsidRPr="0052116E" w:rsidRDefault="0052116E" w:rsidP="0052116E">
      <w:pPr>
        <w:pStyle w:val="ListParagraph"/>
        <w:keepNext/>
        <w:numPr>
          <w:ilvl w:val="0"/>
          <w:numId w:val="7"/>
        </w:numPr>
        <w:spacing w:after="0" w:line="240" w:lineRule="auto"/>
        <w:ind w:left="0" w:firstLine="0"/>
        <w:jc w:val="both"/>
        <w:rPr>
          <w:rFonts w:cstheme="minorHAnsi"/>
          <w:sz w:val="24"/>
          <w:szCs w:val="24"/>
        </w:rPr>
      </w:pPr>
      <w:r w:rsidRPr="0052116E">
        <w:rPr>
          <w:rFonts w:cstheme="minorHAnsi"/>
          <w:sz w:val="24"/>
          <w:szCs w:val="24"/>
        </w:rPr>
        <w:lastRenderedPageBreak/>
        <w:t xml:space="preserve">At the end of page 132 of the Benefit Booklet, a new section entitled </w:t>
      </w:r>
      <w:r w:rsidRPr="0052116E">
        <w:rPr>
          <w:rFonts w:cstheme="minorHAnsi"/>
          <w:b/>
          <w:sz w:val="24"/>
          <w:szCs w:val="24"/>
        </w:rPr>
        <w:t>SICK LEAVE BENEFITS</w:t>
      </w:r>
      <w:r w:rsidRPr="0052116E">
        <w:rPr>
          <w:rFonts w:cstheme="minorHAnsi"/>
          <w:sz w:val="24"/>
          <w:szCs w:val="24"/>
        </w:rPr>
        <w:t xml:space="preserve"> is added to read as follows:</w:t>
      </w:r>
    </w:p>
    <w:p w:rsidR="0052116E" w:rsidRPr="0052116E" w:rsidRDefault="0052116E" w:rsidP="0052116E">
      <w:pPr>
        <w:keepNext/>
        <w:spacing w:after="0" w:line="240" w:lineRule="auto"/>
        <w:rPr>
          <w:rFonts w:cstheme="minorHAnsi"/>
          <w:sz w:val="24"/>
          <w:szCs w:val="24"/>
        </w:rPr>
      </w:pPr>
    </w:p>
    <w:p w:rsidR="0052116E" w:rsidRPr="0052116E" w:rsidRDefault="0052116E" w:rsidP="0052116E">
      <w:pPr>
        <w:keepNext/>
        <w:spacing w:after="0" w:line="240" w:lineRule="auto"/>
        <w:ind w:left="1080" w:right="720"/>
        <w:jc w:val="center"/>
        <w:rPr>
          <w:rFonts w:cstheme="minorHAnsi"/>
          <w:b/>
          <w:sz w:val="24"/>
          <w:szCs w:val="24"/>
        </w:rPr>
      </w:pPr>
      <w:r w:rsidRPr="0052116E">
        <w:rPr>
          <w:rFonts w:cstheme="minorHAnsi"/>
          <w:b/>
          <w:sz w:val="24"/>
          <w:szCs w:val="24"/>
        </w:rPr>
        <w:t>SICK LEAVE BENEFITS</w:t>
      </w:r>
    </w:p>
    <w:p w:rsidR="0052116E" w:rsidRPr="0052116E" w:rsidRDefault="0052116E" w:rsidP="0052116E">
      <w:pPr>
        <w:keepNext/>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b/>
          <w:sz w:val="24"/>
          <w:szCs w:val="24"/>
        </w:rPr>
        <w:t>Introduction.</w:t>
      </w:r>
      <w:r w:rsidRPr="0052116E">
        <w:rPr>
          <w:rFonts w:cstheme="minorHAnsi"/>
          <w:sz w:val="24"/>
          <w:szCs w:val="24"/>
        </w:rPr>
        <w:t xml:space="preserve">  Contributions to an Employee’s Sick Leave Account will start with hours worked after May 31, 2018 provided the Collective Bargaining Agreement requires a Contribution to the Employee’s Sick Leave Account.  The hourly Contribution is determined by the Collective Bargaining Agreement.  </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 xml:space="preserve">Contributions to Your Sick Leave Account in the amount stated in the Collective Bargaining Agreement are paid to You by Your Employer as gross wages, subject to all state and federal deductions, and then deducted from Your paycheck at the full rate called for in the Collective Bargaining Agreement.  Your Employer is then obligated to send the Contributions to the Trust.  </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 xml:space="preserve">Each month, the Plan Administrator will record the Contributions received on Your behalf to a Sick Leave Account in Your name.  Although each Employee’s Sick Leave Account will be separately identified, the combined assets of all Sick Leave Accounts will be identified in the Trust’s financial statements as sick leave reserves.  The Sick Leave Accounts established for Employees are merely a recordkeeping account </w:t>
      </w:r>
      <w:proofErr w:type="gramStart"/>
      <w:r w:rsidRPr="0052116E">
        <w:rPr>
          <w:rFonts w:cstheme="minorHAnsi"/>
          <w:sz w:val="24"/>
          <w:szCs w:val="24"/>
        </w:rPr>
        <w:t>for the purpose of</w:t>
      </w:r>
      <w:proofErr w:type="gramEnd"/>
      <w:r w:rsidRPr="0052116E">
        <w:rPr>
          <w:rFonts w:cstheme="minorHAnsi"/>
          <w:sz w:val="24"/>
          <w:szCs w:val="24"/>
        </w:rPr>
        <w:t xml:space="preserve"> recording the Contributions into Your Sick Leave Account and deductions from Your Sick Leave Account.  </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b/>
          <w:sz w:val="24"/>
          <w:szCs w:val="24"/>
        </w:rPr>
        <w:t>How to Apply for Sick Leave Benefits.</w:t>
      </w:r>
      <w:r w:rsidRPr="0052116E">
        <w:rPr>
          <w:rFonts w:cstheme="minorHAnsi"/>
          <w:sz w:val="24"/>
          <w:szCs w:val="24"/>
        </w:rPr>
        <w:t xml:space="preserve">  The Contributions in Your Sick Leave Account can be used when You miss work for a qualifying reason (defined below) on an after-tax basis.  Sick leave benefits will be paid at Your hourly wage at the time of absence from employment (including vacation/holiday Contributions and paid sick leave Contributions) in one-half hour increments up to the amount of sick leave benefits in Your Sick Leave Account.  For example, assume Your hourly wage at the time of absence from employment (including vacation/holiday Contributions and paid sick leave Contributions) is $45.00 and You miss 3 ½ hours of work due to a qualifying reason.  After You submit a sick leave request form that is approved by the Plan Administrator, </w:t>
      </w:r>
      <w:proofErr w:type="gramStart"/>
      <w:r w:rsidRPr="0052116E">
        <w:rPr>
          <w:rFonts w:cstheme="minorHAnsi"/>
          <w:sz w:val="24"/>
          <w:szCs w:val="24"/>
        </w:rPr>
        <w:t>You</w:t>
      </w:r>
      <w:proofErr w:type="gramEnd"/>
      <w:r w:rsidRPr="0052116E">
        <w:rPr>
          <w:rFonts w:cstheme="minorHAnsi"/>
          <w:sz w:val="24"/>
          <w:szCs w:val="24"/>
        </w:rPr>
        <w:t xml:space="preserve"> will receive $157.50 ($45.00 per hour x 3 ½ hours), or the amount of sick leave benefits in Your Sick Leave Account if less than $157.50, by check or ACH transfer.  </w:t>
      </w:r>
    </w:p>
    <w:p w:rsidR="00222A50" w:rsidRDefault="00222A50"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lastRenderedPageBreak/>
        <w:t xml:space="preserve">In order to request sick leave benefits from Your Sick Leave Account, </w:t>
      </w:r>
      <w:proofErr w:type="gramStart"/>
      <w:r w:rsidRPr="0052116E">
        <w:rPr>
          <w:rFonts w:cstheme="minorHAnsi"/>
          <w:sz w:val="24"/>
          <w:szCs w:val="24"/>
        </w:rPr>
        <w:t>You</w:t>
      </w:r>
      <w:proofErr w:type="gramEnd"/>
      <w:r w:rsidRPr="0052116E">
        <w:rPr>
          <w:rFonts w:cstheme="minorHAnsi"/>
          <w:sz w:val="24"/>
          <w:szCs w:val="24"/>
        </w:rPr>
        <w:t xml:space="preserve"> must complete a sick leave request form and send it to the Plan Administrator.  Sick leave request forms can be obtained as follows:</w:t>
      </w:r>
    </w:p>
    <w:p w:rsidR="0052116E" w:rsidRPr="0052116E" w:rsidRDefault="0052116E" w:rsidP="0052116E">
      <w:pPr>
        <w:spacing w:after="0" w:line="240" w:lineRule="auto"/>
        <w:ind w:left="1080" w:right="720"/>
        <w:jc w:val="both"/>
        <w:rPr>
          <w:rFonts w:cstheme="minorHAnsi"/>
          <w:sz w:val="24"/>
          <w:szCs w:val="24"/>
        </w:rPr>
      </w:pP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965"/>
        <w:gridCol w:w="3355"/>
      </w:tblGrid>
      <w:tr w:rsidR="0052116E" w:rsidRPr="0052116E" w:rsidTr="0052116E">
        <w:trPr>
          <w:cantSplit/>
        </w:trPr>
        <w:tc>
          <w:tcPr>
            <w:tcW w:w="3960" w:type="dxa"/>
            <w:hideMark/>
          </w:tcPr>
          <w:p w:rsidR="0052116E" w:rsidRPr="0052116E" w:rsidRDefault="0052116E" w:rsidP="0052116E">
            <w:pPr>
              <w:tabs>
                <w:tab w:val="right" w:pos="4320"/>
              </w:tabs>
              <w:rPr>
                <w:rFonts w:asciiTheme="minorHAnsi" w:hAnsiTheme="minorHAnsi" w:cstheme="minorHAnsi"/>
                <w:color w:val="000000"/>
                <w:sz w:val="24"/>
                <w:szCs w:val="24"/>
              </w:rPr>
            </w:pPr>
            <w:r w:rsidRPr="0052116E">
              <w:rPr>
                <w:rFonts w:asciiTheme="minorHAnsi" w:hAnsiTheme="minorHAnsi" w:cstheme="minorHAnsi"/>
                <w:color w:val="000000"/>
                <w:sz w:val="24"/>
                <w:szCs w:val="24"/>
              </w:rPr>
              <w:t>Plumbers &amp; Steamfitters Local 598</w:t>
            </w:r>
          </w:p>
          <w:p w:rsidR="0052116E" w:rsidRPr="0052116E" w:rsidRDefault="0052116E" w:rsidP="0052116E">
            <w:pPr>
              <w:tabs>
                <w:tab w:val="right" w:pos="4320"/>
              </w:tabs>
              <w:rPr>
                <w:rFonts w:asciiTheme="minorHAnsi" w:hAnsiTheme="minorHAnsi" w:cstheme="minorHAnsi"/>
                <w:color w:val="000000"/>
                <w:sz w:val="24"/>
                <w:szCs w:val="24"/>
              </w:rPr>
            </w:pPr>
            <w:r w:rsidRPr="0052116E">
              <w:rPr>
                <w:rFonts w:asciiTheme="minorHAnsi" w:hAnsiTheme="minorHAnsi" w:cstheme="minorHAnsi"/>
                <w:color w:val="000000"/>
                <w:sz w:val="24"/>
                <w:szCs w:val="24"/>
              </w:rPr>
              <w:t>1328 Road 28</w:t>
            </w:r>
          </w:p>
          <w:p w:rsidR="0052116E" w:rsidRPr="0052116E" w:rsidRDefault="0052116E" w:rsidP="0052116E">
            <w:pPr>
              <w:tabs>
                <w:tab w:val="right" w:pos="4320"/>
              </w:tabs>
              <w:rPr>
                <w:rFonts w:asciiTheme="minorHAnsi" w:hAnsiTheme="minorHAnsi" w:cstheme="minorHAnsi"/>
                <w:color w:val="000000"/>
                <w:sz w:val="24"/>
                <w:szCs w:val="24"/>
              </w:rPr>
            </w:pPr>
            <w:r w:rsidRPr="0052116E">
              <w:rPr>
                <w:rFonts w:asciiTheme="minorHAnsi" w:hAnsiTheme="minorHAnsi" w:cstheme="minorHAnsi"/>
                <w:color w:val="000000"/>
                <w:sz w:val="24"/>
                <w:szCs w:val="24"/>
              </w:rPr>
              <w:t>Pasco, WA 99301</w:t>
            </w:r>
          </w:p>
          <w:p w:rsidR="0052116E" w:rsidRPr="0052116E" w:rsidRDefault="0052116E" w:rsidP="0052116E">
            <w:pPr>
              <w:rPr>
                <w:rFonts w:asciiTheme="minorHAnsi" w:hAnsiTheme="minorHAnsi" w:cstheme="minorHAnsi"/>
                <w:sz w:val="24"/>
                <w:szCs w:val="24"/>
              </w:rPr>
            </w:pPr>
            <w:r w:rsidRPr="0052116E">
              <w:rPr>
                <w:rFonts w:asciiTheme="minorHAnsi" w:hAnsiTheme="minorHAnsi" w:cstheme="minorHAnsi"/>
                <w:color w:val="000000"/>
                <w:sz w:val="24"/>
                <w:szCs w:val="24"/>
              </w:rPr>
              <w:t>(509) 545-1446</w:t>
            </w:r>
          </w:p>
        </w:tc>
        <w:tc>
          <w:tcPr>
            <w:tcW w:w="965" w:type="dxa"/>
            <w:hideMark/>
          </w:tcPr>
          <w:p w:rsidR="0052116E" w:rsidRPr="0052116E" w:rsidRDefault="0052116E" w:rsidP="0052116E">
            <w:pPr>
              <w:ind w:left="-114" w:right="-108"/>
              <w:jc w:val="center"/>
              <w:rPr>
                <w:rFonts w:asciiTheme="minorHAnsi" w:hAnsiTheme="minorHAnsi" w:cstheme="minorHAnsi"/>
                <w:b/>
                <w:color w:val="000000"/>
                <w:sz w:val="24"/>
                <w:szCs w:val="24"/>
              </w:rPr>
            </w:pPr>
            <w:r w:rsidRPr="0052116E">
              <w:rPr>
                <w:rFonts w:asciiTheme="minorHAnsi" w:hAnsiTheme="minorHAnsi" w:cstheme="minorHAnsi"/>
                <w:b/>
                <w:color w:val="000000"/>
                <w:sz w:val="24"/>
                <w:szCs w:val="24"/>
              </w:rPr>
              <w:t>OR</w:t>
            </w:r>
          </w:p>
        </w:tc>
        <w:tc>
          <w:tcPr>
            <w:tcW w:w="0" w:type="auto"/>
          </w:tcPr>
          <w:p w:rsidR="0052116E" w:rsidRPr="0052116E" w:rsidRDefault="0052116E" w:rsidP="0052116E">
            <w:pPr>
              <w:rPr>
                <w:rFonts w:asciiTheme="minorHAnsi" w:hAnsiTheme="minorHAnsi" w:cstheme="minorHAnsi"/>
                <w:color w:val="000000"/>
                <w:sz w:val="24"/>
                <w:szCs w:val="24"/>
              </w:rPr>
            </w:pPr>
            <w:proofErr w:type="spellStart"/>
            <w:r w:rsidRPr="0052116E">
              <w:rPr>
                <w:rFonts w:asciiTheme="minorHAnsi" w:hAnsiTheme="minorHAnsi" w:cstheme="minorHAnsi"/>
                <w:color w:val="000000"/>
                <w:sz w:val="24"/>
                <w:szCs w:val="24"/>
              </w:rPr>
              <w:t>BeneSys</w:t>
            </w:r>
            <w:proofErr w:type="spellEnd"/>
            <w:r w:rsidRPr="0052116E">
              <w:rPr>
                <w:rFonts w:asciiTheme="minorHAnsi" w:hAnsiTheme="minorHAnsi" w:cstheme="minorHAnsi"/>
                <w:color w:val="000000"/>
                <w:sz w:val="24"/>
                <w:szCs w:val="24"/>
              </w:rPr>
              <w:t>, Inc.</w:t>
            </w:r>
          </w:p>
          <w:p w:rsidR="0052116E" w:rsidRPr="0052116E" w:rsidRDefault="0052116E" w:rsidP="0052116E">
            <w:pPr>
              <w:rPr>
                <w:rFonts w:asciiTheme="minorHAnsi" w:hAnsiTheme="minorHAnsi" w:cstheme="minorHAnsi"/>
                <w:color w:val="000000"/>
                <w:sz w:val="24"/>
                <w:szCs w:val="24"/>
              </w:rPr>
            </w:pPr>
            <w:r w:rsidRPr="0052116E">
              <w:rPr>
                <w:rFonts w:asciiTheme="minorHAnsi" w:hAnsiTheme="minorHAnsi" w:cstheme="minorHAnsi"/>
                <w:color w:val="000000"/>
                <w:sz w:val="24"/>
                <w:szCs w:val="24"/>
              </w:rPr>
              <w:t>5331 SW Macadam Avenue</w:t>
            </w:r>
          </w:p>
          <w:p w:rsidR="0052116E" w:rsidRPr="0052116E" w:rsidRDefault="0052116E" w:rsidP="0052116E">
            <w:pPr>
              <w:rPr>
                <w:rFonts w:asciiTheme="minorHAnsi" w:hAnsiTheme="minorHAnsi" w:cstheme="minorHAnsi"/>
                <w:color w:val="000000"/>
                <w:sz w:val="24"/>
                <w:szCs w:val="24"/>
              </w:rPr>
            </w:pPr>
            <w:r w:rsidRPr="0052116E">
              <w:rPr>
                <w:rFonts w:asciiTheme="minorHAnsi" w:hAnsiTheme="minorHAnsi" w:cstheme="minorHAnsi"/>
                <w:color w:val="000000"/>
                <w:sz w:val="24"/>
                <w:szCs w:val="24"/>
              </w:rPr>
              <w:t>Suite 258, PMB #116</w:t>
            </w:r>
          </w:p>
          <w:p w:rsidR="0052116E" w:rsidRPr="0052116E" w:rsidRDefault="0052116E" w:rsidP="0052116E">
            <w:pPr>
              <w:rPr>
                <w:rFonts w:asciiTheme="minorHAnsi" w:hAnsiTheme="minorHAnsi" w:cstheme="minorHAnsi"/>
                <w:color w:val="000000"/>
                <w:sz w:val="24"/>
                <w:szCs w:val="24"/>
              </w:rPr>
            </w:pPr>
            <w:r w:rsidRPr="0052116E">
              <w:rPr>
                <w:rFonts w:asciiTheme="minorHAnsi" w:hAnsiTheme="minorHAnsi" w:cstheme="minorHAnsi"/>
                <w:color w:val="000000"/>
                <w:sz w:val="24"/>
                <w:szCs w:val="24"/>
              </w:rPr>
              <w:t>Portland, OR 97239</w:t>
            </w:r>
          </w:p>
          <w:p w:rsidR="0052116E" w:rsidRPr="0052116E" w:rsidRDefault="0052116E" w:rsidP="0052116E">
            <w:pPr>
              <w:rPr>
                <w:rFonts w:asciiTheme="minorHAnsi" w:hAnsiTheme="minorHAnsi" w:cstheme="minorHAnsi"/>
                <w:color w:val="000000"/>
                <w:sz w:val="24"/>
                <w:szCs w:val="24"/>
              </w:rPr>
            </w:pPr>
          </w:p>
        </w:tc>
      </w:tr>
      <w:tr w:rsidR="0052116E" w:rsidRPr="0052116E" w:rsidTr="0052116E">
        <w:trPr>
          <w:cantSplit/>
        </w:trPr>
        <w:tc>
          <w:tcPr>
            <w:tcW w:w="3960" w:type="dxa"/>
            <w:hideMark/>
          </w:tcPr>
          <w:p w:rsidR="0052116E" w:rsidRPr="0052116E" w:rsidRDefault="0052116E" w:rsidP="0052116E">
            <w:pPr>
              <w:tabs>
                <w:tab w:val="right" w:pos="4320"/>
              </w:tabs>
              <w:rPr>
                <w:rFonts w:asciiTheme="minorHAnsi" w:hAnsiTheme="minorHAnsi" w:cstheme="minorHAnsi"/>
                <w:color w:val="000000"/>
                <w:sz w:val="24"/>
                <w:szCs w:val="24"/>
              </w:rPr>
            </w:pPr>
            <w:r w:rsidRPr="0052116E">
              <w:rPr>
                <w:rFonts w:asciiTheme="minorHAnsi" w:hAnsiTheme="minorHAnsi" w:cstheme="minorHAnsi"/>
                <w:sz w:val="24"/>
                <w:szCs w:val="24"/>
              </w:rPr>
              <w:t xml:space="preserve">Go to </w:t>
            </w:r>
            <w:hyperlink r:id="rId7" w:history="1">
              <w:r w:rsidRPr="0052116E">
                <w:rPr>
                  <w:rStyle w:val="Hyperlink"/>
                  <w:rFonts w:asciiTheme="minorHAnsi" w:hAnsiTheme="minorHAnsi" w:cstheme="minorHAnsi"/>
                  <w:sz w:val="24"/>
                  <w:szCs w:val="24"/>
                </w:rPr>
                <w:t>www.ua598benefits.org</w:t>
              </w:r>
            </w:hyperlink>
            <w:r w:rsidRPr="0052116E">
              <w:rPr>
                <w:rFonts w:asciiTheme="minorHAnsi" w:hAnsiTheme="minorHAnsi" w:cstheme="minorHAnsi"/>
                <w:sz w:val="24"/>
                <w:szCs w:val="24"/>
              </w:rPr>
              <w:t xml:space="preserve"> and print a sick leave request form</w:t>
            </w:r>
          </w:p>
        </w:tc>
        <w:tc>
          <w:tcPr>
            <w:tcW w:w="965" w:type="dxa"/>
            <w:hideMark/>
          </w:tcPr>
          <w:p w:rsidR="0052116E" w:rsidRPr="0052116E" w:rsidRDefault="0052116E" w:rsidP="0052116E">
            <w:pPr>
              <w:ind w:left="-114" w:right="-108"/>
              <w:jc w:val="center"/>
              <w:rPr>
                <w:rFonts w:asciiTheme="minorHAnsi" w:hAnsiTheme="minorHAnsi" w:cstheme="minorHAnsi"/>
                <w:b/>
                <w:color w:val="000000"/>
                <w:sz w:val="24"/>
                <w:szCs w:val="24"/>
              </w:rPr>
            </w:pPr>
            <w:r w:rsidRPr="0052116E">
              <w:rPr>
                <w:rFonts w:asciiTheme="minorHAnsi" w:hAnsiTheme="minorHAnsi" w:cstheme="minorHAnsi"/>
                <w:b/>
                <w:color w:val="000000"/>
                <w:sz w:val="24"/>
                <w:szCs w:val="24"/>
              </w:rPr>
              <w:t>OR</w:t>
            </w:r>
          </w:p>
        </w:tc>
        <w:tc>
          <w:tcPr>
            <w:tcW w:w="0" w:type="auto"/>
            <w:hideMark/>
          </w:tcPr>
          <w:p w:rsidR="0052116E" w:rsidRPr="0052116E" w:rsidRDefault="0052116E" w:rsidP="0052116E">
            <w:pPr>
              <w:rPr>
                <w:rFonts w:asciiTheme="minorHAnsi" w:hAnsiTheme="minorHAnsi" w:cstheme="minorHAnsi"/>
                <w:color w:val="000000"/>
                <w:sz w:val="24"/>
                <w:szCs w:val="24"/>
              </w:rPr>
            </w:pPr>
            <w:r w:rsidRPr="0052116E">
              <w:rPr>
                <w:rFonts w:asciiTheme="minorHAnsi" w:hAnsiTheme="minorHAnsi" w:cstheme="minorHAnsi"/>
                <w:sz w:val="24"/>
                <w:szCs w:val="24"/>
              </w:rPr>
              <w:t>Call (800) 205-7002 and request a sick leave request form</w:t>
            </w:r>
          </w:p>
        </w:tc>
      </w:tr>
    </w:tbl>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Send the completed sick leave request form to the following address:</w:t>
      </w:r>
    </w:p>
    <w:p w:rsidR="0052116E" w:rsidRPr="0052116E" w:rsidRDefault="0052116E" w:rsidP="0052116E">
      <w:pPr>
        <w:spacing w:after="0" w:line="240" w:lineRule="auto"/>
        <w:ind w:left="1080" w:right="720"/>
        <w:jc w:val="both"/>
        <w:rPr>
          <w:rFonts w:cstheme="minorHAnsi"/>
          <w:sz w:val="24"/>
          <w:szCs w:val="24"/>
        </w:rPr>
      </w:pPr>
    </w:p>
    <w:tbl>
      <w:tblPr>
        <w:tblStyle w:val="TableGrid"/>
        <w:tblW w:w="8100" w:type="dxa"/>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0"/>
        <w:gridCol w:w="360"/>
        <w:gridCol w:w="1800"/>
        <w:gridCol w:w="360"/>
        <w:gridCol w:w="2610"/>
      </w:tblGrid>
      <w:tr w:rsidR="0052116E" w:rsidRPr="0052116E" w:rsidTr="0052116E">
        <w:tc>
          <w:tcPr>
            <w:tcW w:w="2970" w:type="dxa"/>
            <w:hideMark/>
          </w:tcPr>
          <w:p w:rsidR="0052116E" w:rsidRPr="0052116E" w:rsidRDefault="0052116E" w:rsidP="0052116E">
            <w:pPr>
              <w:rPr>
                <w:rFonts w:asciiTheme="minorHAnsi" w:hAnsiTheme="minorHAnsi" w:cstheme="minorHAnsi"/>
                <w:color w:val="000000"/>
                <w:sz w:val="24"/>
                <w:szCs w:val="24"/>
              </w:rPr>
            </w:pPr>
            <w:proofErr w:type="spellStart"/>
            <w:r w:rsidRPr="0052116E">
              <w:rPr>
                <w:rFonts w:asciiTheme="minorHAnsi" w:hAnsiTheme="minorHAnsi" w:cstheme="minorHAnsi"/>
                <w:color w:val="000000"/>
                <w:sz w:val="24"/>
                <w:szCs w:val="24"/>
              </w:rPr>
              <w:t>BeneSys</w:t>
            </w:r>
            <w:proofErr w:type="spellEnd"/>
            <w:r w:rsidRPr="0052116E">
              <w:rPr>
                <w:rFonts w:asciiTheme="minorHAnsi" w:hAnsiTheme="minorHAnsi" w:cstheme="minorHAnsi"/>
                <w:color w:val="000000"/>
                <w:sz w:val="24"/>
                <w:szCs w:val="24"/>
              </w:rPr>
              <w:t>, Inc.</w:t>
            </w:r>
          </w:p>
          <w:p w:rsidR="0052116E" w:rsidRPr="0052116E" w:rsidRDefault="0052116E" w:rsidP="0052116E">
            <w:pPr>
              <w:rPr>
                <w:rFonts w:asciiTheme="minorHAnsi" w:hAnsiTheme="minorHAnsi" w:cstheme="minorHAnsi"/>
                <w:color w:val="000000"/>
                <w:sz w:val="24"/>
                <w:szCs w:val="24"/>
              </w:rPr>
            </w:pPr>
            <w:r w:rsidRPr="0052116E">
              <w:rPr>
                <w:rFonts w:asciiTheme="minorHAnsi" w:hAnsiTheme="minorHAnsi" w:cstheme="minorHAnsi"/>
                <w:color w:val="000000"/>
                <w:sz w:val="24"/>
                <w:szCs w:val="24"/>
              </w:rPr>
              <w:t>5331 SW Macadam Avenue</w:t>
            </w:r>
          </w:p>
          <w:p w:rsidR="0052116E" w:rsidRPr="0052116E" w:rsidRDefault="0052116E" w:rsidP="0052116E">
            <w:pPr>
              <w:rPr>
                <w:rFonts w:asciiTheme="minorHAnsi" w:hAnsiTheme="minorHAnsi" w:cstheme="minorHAnsi"/>
                <w:color w:val="000000"/>
                <w:sz w:val="24"/>
                <w:szCs w:val="24"/>
              </w:rPr>
            </w:pPr>
            <w:r w:rsidRPr="0052116E">
              <w:rPr>
                <w:rFonts w:asciiTheme="minorHAnsi" w:hAnsiTheme="minorHAnsi" w:cstheme="minorHAnsi"/>
                <w:color w:val="000000"/>
                <w:sz w:val="24"/>
                <w:szCs w:val="24"/>
              </w:rPr>
              <w:t>Suite 258, PMB #116</w:t>
            </w:r>
          </w:p>
          <w:p w:rsidR="0052116E" w:rsidRPr="0052116E" w:rsidRDefault="0052116E" w:rsidP="0052116E">
            <w:pPr>
              <w:tabs>
                <w:tab w:val="right" w:pos="4320"/>
              </w:tabs>
              <w:rPr>
                <w:rFonts w:asciiTheme="minorHAnsi" w:hAnsiTheme="minorHAnsi" w:cstheme="minorHAnsi"/>
                <w:color w:val="000000"/>
                <w:sz w:val="24"/>
                <w:szCs w:val="24"/>
              </w:rPr>
            </w:pPr>
            <w:r w:rsidRPr="0052116E">
              <w:rPr>
                <w:rFonts w:asciiTheme="minorHAnsi" w:hAnsiTheme="minorHAnsi" w:cstheme="minorHAnsi"/>
                <w:color w:val="000000"/>
                <w:sz w:val="24"/>
                <w:szCs w:val="24"/>
              </w:rPr>
              <w:t>Portland, OR 97239</w:t>
            </w:r>
          </w:p>
        </w:tc>
        <w:tc>
          <w:tcPr>
            <w:tcW w:w="360" w:type="dxa"/>
            <w:hideMark/>
          </w:tcPr>
          <w:p w:rsidR="0052116E" w:rsidRPr="0052116E" w:rsidRDefault="0052116E" w:rsidP="0052116E">
            <w:pPr>
              <w:ind w:left="-114" w:right="-108"/>
              <w:rPr>
                <w:rFonts w:asciiTheme="minorHAnsi" w:hAnsiTheme="minorHAnsi" w:cstheme="minorHAnsi"/>
                <w:b/>
                <w:color w:val="000000"/>
                <w:sz w:val="24"/>
                <w:szCs w:val="24"/>
              </w:rPr>
            </w:pPr>
            <w:r w:rsidRPr="0052116E">
              <w:rPr>
                <w:rFonts w:asciiTheme="minorHAnsi" w:hAnsiTheme="minorHAnsi" w:cstheme="minorHAnsi"/>
                <w:b/>
                <w:color w:val="000000"/>
                <w:sz w:val="24"/>
                <w:szCs w:val="24"/>
              </w:rPr>
              <w:t>OR</w:t>
            </w:r>
          </w:p>
        </w:tc>
        <w:tc>
          <w:tcPr>
            <w:tcW w:w="1800" w:type="dxa"/>
            <w:hideMark/>
          </w:tcPr>
          <w:p w:rsidR="0052116E" w:rsidRPr="0052116E" w:rsidRDefault="0052116E" w:rsidP="0052116E">
            <w:pPr>
              <w:ind w:right="-108"/>
              <w:rPr>
                <w:rFonts w:asciiTheme="minorHAnsi" w:hAnsiTheme="minorHAnsi" w:cstheme="minorHAnsi"/>
                <w:color w:val="000000"/>
                <w:sz w:val="24"/>
                <w:szCs w:val="24"/>
              </w:rPr>
            </w:pPr>
            <w:r w:rsidRPr="0052116E">
              <w:rPr>
                <w:rFonts w:asciiTheme="minorHAnsi" w:hAnsiTheme="minorHAnsi" w:cstheme="minorHAnsi"/>
                <w:color w:val="000000"/>
                <w:sz w:val="24"/>
                <w:szCs w:val="24"/>
              </w:rPr>
              <w:t>By facsimile to:</w:t>
            </w:r>
          </w:p>
          <w:p w:rsidR="0052116E" w:rsidRPr="0052116E" w:rsidRDefault="0052116E" w:rsidP="0052116E">
            <w:pPr>
              <w:ind w:right="-108"/>
              <w:rPr>
                <w:rFonts w:asciiTheme="minorHAnsi" w:hAnsiTheme="minorHAnsi" w:cstheme="minorHAnsi"/>
                <w:color w:val="000000"/>
                <w:sz w:val="24"/>
                <w:szCs w:val="24"/>
              </w:rPr>
            </w:pPr>
            <w:proofErr w:type="spellStart"/>
            <w:r w:rsidRPr="0052116E">
              <w:rPr>
                <w:rFonts w:asciiTheme="minorHAnsi" w:hAnsiTheme="minorHAnsi" w:cstheme="minorHAnsi"/>
                <w:color w:val="000000"/>
                <w:sz w:val="24"/>
                <w:szCs w:val="24"/>
              </w:rPr>
              <w:t>BeneSys</w:t>
            </w:r>
            <w:proofErr w:type="spellEnd"/>
            <w:r w:rsidRPr="0052116E">
              <w:rPr>
                <w:rFonts w:asciiTheme="minorHAnsi" w:hAnsiTheme="minorHAnsi" w:cstheme="minorHAnsi"/>
                <w:color w:val="000000"/>
                <w:sz w:val="24"/>
                <w:szCs w:val="24"/>
              </w:rPr>
              <w:t>, Inc.</w:t>
            </w:r>
          </w:p>
          <w:p w:rsidR="0052116E" w:rsidRPr="0052116E" w:rsidRDefault="0052116E" w:rsidP="0052116E">
            <w:pPr>
              <w:ind w:right="-108"/>
              <w:rPr>
                <w:rFonts w:asciiTheme="minorHAnsi" w:hAnsiTheme="minorHAnsi" w:cstheme="minorHAnsi"/>
                <w:color w:val="000000"/>
                <w:sz w:val="24"/>
                <w:szCs w:val="24"/>
              </w:rPr>
            </w:pPr>
            <w:r w:rsidRPr="0052116E">
              <w:rPr>
                <w:rFonts w:asciiTheme="minorHAnsi" w:hAnsiTheme="minorHAnsi" w:cstheme="minorHAnsi"/>
                <w:color w:val="000000"/>
                <w:sz w:val="24"/>
                <w:szCs w:val="24"/>
              </w:rPr>
              <w:t>(503) 228-0149</w:t>
            </w:r>
          </w:p>
        </w:tc>
        <w:tc>
          <w:tcPr>
            <w:tcW w:w="360" w:type="dxa"/>
            <w:hideMark/>
          </w:tcPr>
          <w:p w:rsidR="0052116E" w:rsidRPr="0052116E" w:rsidRDefault="0052116E" w:rsidP="0052116E">
            <w:pPr>
              <w:ind w:left="-114" w:right="-108"/>
              <w:rPr>
                <w:rFonts w:asciiTheme="minorHAnsi" w:hAnsiTheme="minorHAnsi" w:cstheme="minorHAnsi"/>
                <w:color w:val="000000"/>
                <w:sz w:val="24"/>
                <w:szCs w:val="24"/>
              </w:rPr>
            </w:pPr>
            <w:r w:rsidRPr="0052116E">
              <w:rPr>
                <w:rFonts w:asciiTheme="minorHAnsi" w:hAnsiTheme="minorHAnsi" w:cstheme="minorHAnsi"/>
                <w:b/>
                <w:color w:val="000000"/>
                <w:sz w:val="24"/>
                <w:szCs w:val="24"/>
              </w:rPr>
              <w:t>OR</w:t>
            </w:r>
          </w:p>
        </w:tc>
        <w:tc>
          <w:tcPr>
            <w:tcW w:w="2610" w:type="dxa"/>
          </w:tcPr>
          <w:p w:rsidR="0052116E" w:rsidRPr="0052116E" w:rsidRDefault="0052116E" w:rsidP="0052116E">
            <w:pPr>
              <w:ind w:right="-108"/>
              <w:rPr>
                <w:rFonts w:asciiTheme="minorHAnsi" w:hAnsiTheme="minorHAnsi" w:cstheme="minorHAnsi"/>
                <w:color w:val="000000"/>
                <w:sz w:val="24"/>
                <w:szCs w:val="24"/>
              </w:rPr>
            </w:pPr>
            <w:r w:rsidRPr="0052116E">
              <w:rPr>
                <w:rFonts w:asciiTheme="minorHAnsi" w:hAnsiTheme="minorHAnsi" w:cstheme="minorHAnsi"/>
                <w:color w:val="000000"/>
                <w:sz w:val="24"/>
                <w:szCs w:val="24"/>
              </w:rPr>
              <w:t>By email to:</w:t>
            </w:r>
          </w:p>
          <w:p w:rsidR="0052116E" w:rsidRPr="0052116E" w:rsidRDefault="0052116E" w:rsidP="0052116E">
            <w:pPr>
              <w:ind w:right="-108"/>
              <w:rPr>
                <w:rFonts w:asciiTheme="minorHAnsi" w:hAnsiTheme="minorHAnsi" w:cstheme="minorHAnsi"/>
                <w:color w:val="000000"/>
                <w:sz w:val="24"/>
                <w:szCs w:val="24"/>
              </w:rPr>
            </w:pPr>
            <w:proofErr w:type="spellStart"/>
            <w:r w:rsidRPr="0052116E">
              <w:rPr>
                <w:rFonts w:asciiTheme="minorHAnsi" w:hAnsiTheme="minorHAnsi" w:cstheme="minorHAnsi"/>
                <w:color w:val="000000"/>
                <w:sz w:val="24"/>
                <w:szCs w:val="24"/>
              </w:rPr>
              <w:t>BeneSys</w:t>
            </w:r>
            <w:proofErr w:type="spellEnd"/>
            <w:r w:rsidRPr="0052116E">
              <w:rPr>
                <w:rFonts w:asciiTheme="minorHAnsi" w:hAnsiTheme="minorHAnsi" w:cstheme="minorHAnsi"/>
                <w:color w:val="000000"/>
                <w:sz w:val="24"/>
                <w:szCs w:val="24"/>
              </w:rPr>
              <w:t>, Inc.598benefits@bensys.com</w:t>
            </w:r>
          </w:p>
          <w:p w:rsidR="0052116E" w:rsidRPr="0052116E" w:rsidRDefault="0052116E" w:rsidP="0052116E">
            <w:pPr>
              <w:ind w:right="-108"/>
              <w:rPr>
                <w:rFonts w:asciiTheme="minorHAnsi" w:hAnsiTheme="minorHAnsi" w:cstheme="minorHAnsi"/>
                <w:color w:val="000000"/>
                <w:sz w:val="24"/>
                <w:szCs w:val="24"/>
              </w:rPr>
            </w:pPr>
          </w:p>
        </w:tc>
      </w:tr>
    </w:tbl>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 xml:space="preserve">The Plan Administrator will review Your sick leave request form.  If Your sick leave request is granted, </w:t>
      </w:r>
      <w:proofErr w:type="gramStart"/>
      <w:r w:rsidRPr="0052116E">
        <w:rPr>
          <w:rFonts w:cstheme="minorHAnsi"/>
          <w:sz w:val="24"/>
          <w:szCs w:val="24"/>
        </w:rPr>
        <w:t>You</w:t>
      </w:r>
      <w:proofErr w:type="gramEnd"/>
      <w:r w:rsidRPr="0052116E">
        <w:rPr>
          <w:rFonts w:cstheme="minorHAnsi"/>
          <w:sz w:val="24"/>
          <w:szCs w:val="24"/>
        </w:rPr>
        <w:t xml:space="preserve"> will receive payment by check or ACH transfer approximately ten days after Your sick leave request form is received and approved.  If Your sick leave request is denied in whole or in part, </w:t>
      </w:r>
      <w:proofErr w:type="gramStart"/>
      <w:r w:rsidRPr="0052116E">
        <w:rPr>
          <w:rFonts w:cstheme="minorHAnsi"/>
          <w:sz w:val="24"/>
          <w:szCs w:val="24"/>
        </w:rPr>
        <w:t>You</w:t>
      </w:r>
      <w:proofErr w:type="gramEnd"/>
      <w:r w:rsidRPr="0052116E">
        <w:rPr>
          <w:rFonts w:cstheme="minorHAnsi"/>
          <w:sz w:val="24"/>
          <w:szCs w:val="24"/>
        </w:rPr>
        <w:t xml:space="preserve"> will be notified in writing by the Plan Administrator as described in the </w:t>
      </w:r>
      <w:r w:rsidRPr="0052116E">
        <w:rPr>
          <w:rFonts w:cstheme="minorHAnsi"/>
          <w:b/>
          <w:sz w:val="24"/>
          <w:szCs w:val="24"/>
        </w:rPr>
        <w:t>CLAIM APPEAL PROCEDURES</w:t>
      </w:r>
      <w:r w:rsidRPr="0052116E">
        <w:rPr>
          <w:rFonts w:cstheme="minorHAnsi"/>
          <w:sz w:val="24"/>
          <w:szCs w:val="24"/>
        </w:rPr>
        <w:t xml:space="preserve"> of the Benefit Booklet.  </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b/>
          <w:sz w:val="24"/>
          <w:szCs w:val="24"/>
        </w:rPr>
        <w:t>Qualifying Reasons to Access Your Sick Leave Account.</w:t>
      </w:r>
      <w:r w:rsidRPr="0052116E">
        <w:rPr>
          <w:rFonts w:cstheme="minorHAnsi"/>
          <w:sz w:val="24"/>
          <w:szCs w:val="24"/>
        </w:rPr>
        <w:t xml:space="preserve">  You are entitled to sick leave benefits from Your Sick Leave Account if You are scheduled to work but are unable to work for one of the following reasons:</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pStyle w:val="ListParagraph"/>
        <w:numPr>
          <w:ilvl w:val="0"/>
          <w:numId w:val="8"/>
        </w:numPr>
        <w:spacing w:after="0" w:line="240" w:lineRule="auto"/>
        <w:ind w:right="720"/>
        <w:jc w:val="both"/>
        <w:rPr>
          <w:rFonts w:cstheme="minorHAnsi"/>
          <w:sz w:val="24"/>
          <w:szCs w:val="24"/>
        </w:rPr>
      </w:pPr>
      <w:r w:rsidRPr="0052116E">
        <w:rPr>
          <w:rFonts w:cstheme="minorHAnsi"/>
          <w:sz w:val="24"/>
          <w:szCs w:val="24"/>
        </w:rPr>
        <w:t>You may use Your sick leave benefits to care for Yourself or a family member (defined below) for:</w:t>
      </w:r>
    </w:p>
    <w:p w:rsidR="0052116E" w:rsidRPr="0052116E" w:rsidRDefault="0052116E" w:rsidP="0052116E">
      <w:pPr>
        <w:spacing w:after="0" w:line="240" w:lineRule="auto"/>
        <w:ind w:right="720"/>
        <w:jc w:val="both"/>
        <w:rPr>
          <w:rFonts w:cstheme="minorHAnsi"/>
          <w:sz w:val="24"/>
          <w:szCs w:val="24"/>
        </w:rPr>
      </w:pPr>
    </w:p>
    <w:p w:rsidR="0052116E" w:rsidRPr="0052116E" w:rsidRDefault="0052116E" w:rsidP="0052116E">
      <w:pPr>
        <w:pStyle w:val="ListParagraph"/>
        <w:numPr>
          <w:ilvl w:val="1"/>
          <w:numId w:val="8"/>
        </w:numPr>
        <w:spacing w:after="0" w:line="240" w:lineRule="auto"/>
        <w:ind w:right="720"/>
        <w:jc w:val="both"/>
        <w:rPr>
          <w:rFonts w:cstheme="minorHAnsi"/>
          <w:sz w:val="24"/>
          <w:szCs w:val="24"/>
        </w:rPr>
      </w:pPr>
      <w:r w:rsidRPr="0052116E">
        <w:rPr>
          <w:rFonts w:cstheme="minorHAnsi"/>
          <w:sz w:val="24"/>
          <w:szCs w:val="24"/>
        </w:rPr>
        <w:t>Mental or physical illnesses, injuries, or health conditions;</w:t>
      </w:r>
    </w:p>
    <w:p w:rsidR="0052116E" w:rsidRPr="0052116E" w:rsidRDefault="0052116E" w:rsidP="0052116E">
      <w:pPr>
        <w:pStyle w:val="ListParagraph"/>
        <w:spacing w:after="0" w:line="240" w:lineRule="auto"/>
        <w:ind w:left="2160" w:right="720"/>
        <w:jc w:val="both"/>
        <w:rPr>
          <w:rFonts w:cstheme="minorHAnsi"/>
          <w:sz w:val="24"/>
          <w:szCs w:val="24"/>
        </w:rPr>
      </w:pPr>
    </w:p>
    <w:p w:rsidR="0052116E" w:rsidRPr="0052116E" w:rsidRDefault="0052116E" w:rsidP="0052116E">
      <w:pPr>
        <w:pStyle w:val="ListParagraph"/>
        <w:numPr>
          <w:ilvl w:val="1"/>
          <w:numId w:val="8"/>
        </w:numPr>
        <w:spacing w:after="0" w:line="240" w:lineRule="auto"/>
        <w:ind w:right="720"/>
        <w:jc w:val="both"/>
        <w:rPr>
          <w:rFonts w:cstheme="minorHAnsi"/>
          <w:sz w:val="24"/>
          <w:szCs w:val="24"/>
        </w:rPr>
      </w:pPr>
      <w:r w:rsidRPr="0052116E">
        <w:rPr>
          <w:rFonts w:cstheme="minorHAnsi"/>
          <w:sz w:val="24"/>
          <w:szCs w:val="24"/>
        </w:rPr>
        <w:t>Medical diagnosis, care or treatment of mental or physical illnesses, injuries, or health conditions; or</w:t>
      </w:r>
    </w:p>
    <w:p w:rsidR="0052116E" w:rsidRPr="0052116E" w:rsidRDefault="0052116E" w:rsidP="0052116E">
      <w:pPr>
        <w:pStyle w:val="ListParagraph"/>
        <w:spacing w:after="0" w:line="240" w:lineRule="auto"/>
        <w:jc w:val="both"/>
        <w:rPr>
          <w:rFonts w:cstheme="minorHAnsi"/>
          <w:sz w:val="24"/>
          <w:szCs w:val="24"/>
        </w:rPr>
      </w:pPr>
    </w:p>
    <w:p w:rsidR="0052116E" w:rsidRPr="0052116E" w:rsidRDefault="0052116E" w:rsidP="0052116E">
      <w:pPr>
        <w:pStyle w:val="ListParagraph"/>
        <w:numPr>
          <w:ilvl w:val="1"/>
          <w:numId w:val="8"/>
        </w:numPr>
        <w:spacing w:after="0" w:line="240" w:lineRule="auto"/>
        <w:ind w:right="720"/>
        <w:jc w:val="both"/>
        <w:rPr>
          <w:rFonts w:cstheme="minorHAnsi"/>
          <w:sz w:val="24"/>
          <w:szCs w:val="24"/>
        </w:rPr>
      </w:pPr>
      <w:r w:rsidRPr="0052116E">
        <w:rPr>
          <w:rFonts w:cstheme="minorHAnsi"/>
          <w:sz w:val="24"/>
          <w:szCs w:val="24"/>
        </w:rPr>
        <w:t xml:space="preserve">Preventive medical care; </w:t>
      </w:r>
    </w:p>
    <w:p w:rsidR="0052116E" w:rsidRPr="0052116E" w:rsidRDefault="0052116E" w:rsidP="0052116E">
      <w:pPr>
        <w:spacing w:after="0" w:line="240" w:lineRule="auto"/>
        <w:ind w:right="720"/>
        <w:jc w:val="both"/>
        <w:rPr>
          <w:rFonts w:cstheme="minorHAnsi"/>
          <w:sz w:val="24"/>
          <w:szCs w:val="24"/>
        </w:rPr>
      </w:pPr>
    </w:p>
    <w:p w:rsidR="0052116E" w:rsidRPr="0052116E" w:rsidRDefault="0052116E" w:rsidP="0052116E">
      <w:pPr>
        <w:pStyle w:val="ListParagraph"/>
        <w:numPr>
          <w:ilvl w:val="0"/>
          <w:numId w:val="8"/>
        </w:numPr>
        <w:spacing w:after="0" w:line="240" w:lineRule="auto"/>
        <w:ind w:right="720"/>
        <w:jc w:val="both"/>
        <w:rPr>
          <w:rFonts w:cstheme="minorHAnsi"/>
          <w:sz w:val="24"/>
          <w:szCs w:val="24"/>
        </w:rPr>
      </w:pPr>
      <w:r w:rsidRPr="0052116E">
        <w:rPr>
          <w:rFonts w:cstheme="minorHAnsi"/>
          <w:sz w:val="24"/>
          <w:szCs w:val="24"/>
        </w:rPr>
        <w:lastRenderedPageBreak/>
        <w:t>When You or a family member (defined below) is the victim of sexual assault, domestic violence, or stalking; or</w:t>
      </w:r>
    </w:p>
    <w:p w:rsidR="0052116E" w:rsidRPr="0052116E" w:rsidRDefault="0052116E" w:rsidP="0052116E">
      <w:pPr>
        <w:pStyle w:val="ListParagraph"/>
        <w:spacing w:after="0" w:line="240" w:lineRule="auto"/>
        <w:jc w:val="both"/>
        <w:rPr>
          <w:rFonts w:cstheme="minorHAnsi"/>
          <w:sz w:val="24"/>
          <w:szCs w:val="24"/>
        </w:rPr>
      </w:pPr>
    </w:p>
    <w:p w:rsidR="0052116E" w:rsidRPr="0052116E" w:rsidRDefault="0052116E" w:rsidP="0052116E">
      <w:pPr>
        <w:pStyle w:val="ListParagraph"/>
        <w:numPr>
          <w:ilvl w:val="0"/>
          <w:numId w:val="8"/>
        </w:numPr>
        <w:spacing w:after="0" w:line="240" w:lineRule="auto"/>
        <w:ind w:right="720"/>
        <w:jc w:val="both"/>
        <w:rPr>
          <w:rFonts w:cstheme="minorHAnsi"/>
          <w:sz w:val="24"/>
          <w:szCs w:val="24"/>
        </w:rPr>
      </w:pPr>
      <w:r w:rsidRPr="0052116E">
        <w:rPr>
          <w:rFonts w:cstheme="minorHAnsi"/>
          <w:sz w:val="24"/>
          <w:szCs w:val="24"/>
        </w:rPr>
        <w:t>Your place of employment or Your child’s school or place of care has closed by order of a public official for any health-related reason.  Note: A closure due to weather conditions does not count as an authorized reason to use sick leave benefits;</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 xml:space="preserve">For purposes of this section of the Benefit Booklet, </w:t>
      </w:r>
      <w:proofErr w:type="gramStart"/>
      <w:r w:rsidRPr="0052116E">
        <w:rPr>
          <w:rFonts w:cstheme="minorHAnsi"/>
          <w:sz w:val="24"/>
          <w:szCs w:val="24"/>
        </w:rPr>
        <w:t>Your</w:t>
      </w:r>
      <w:proofErr w:type="gramEnd"/>
      <w:r w:rsidRPr="0052116E">
        <w:rPr>
          <w:rFonts w:cstheme="minorHAnsi"/>
          <w:sz w:val="24"/>
          <w:szCs w:val="24"/>
        </w:rPr>
        <w:t xml:space="preserve"> family member is defined as a child or parent (including biological, adopted, foster, step, or legal guardian), a spouse, registered domestic partner, spouse’s parent, grandparent, grandchild, or sibling. </w:t>
      </w:r>
    </w:p>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spacing w:after="0" w:line="240" w:lineRule="auto"/>
        <w:ind w:left="1080" w:right="720"/>
        <w:jc w:val="both"/>
        <w:rPr>
          <w:rFonts w:cstheme="minorHAnsi"/>
          <w:sz w:val="24"/>
          <w:szCs w:val="24"/>
        </w:rPr>
      </w:pPr>
      <w:r w:rsidRPr="0052116E">
        <w:rPr>
          <w:rFonts w:cstheme="minorHAnsi"/>
          <w:b/>
          <w:sz w:val="24"/>
          <w:szCs w:val="24"/>
        </w:rPr>
        <w:t>Method for Paying Your Sick Leave Benefits.</w:t>
      </w:r>
      <w:r w:rsidRPr="0052116E">
        <w:rPr>
          <w:rFonts w:cstheme="minorHAnsi"/>
          <w:sz w:val="24"/>
          <w:szCs w:val="24"/>
        </w:rPr>
        <w:t xml:space="preserve">  You have two options for the payment of Your sick leave benefits as follows:</w:t>
      </w:r>
    </w:p>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numPr>
          <w:ilvl w:val="0"/>
          <w:numId w:val="9"/>
        </w:numPr>
        <w:spacing w:after="0" w:line="240" w:lineRule="auto"/>
        <w:ind w:right="720"/>
        <w:jc w:val="both"/>
        <w:rPr>
          <w:rFonts w:cstheme="minorHAnsi"/>
          <w:sz w:val="24"/>
          <w:szCs w:val="24"/>
        </w:rPr>
      </w:pPr>
      <w:r w:rsidRPr="0052116E">
        <w:rPr>
          <w:rFonts w:cstheme="minorHAnsi"/>
          <w:sz w:val="24"/>
          <w:szCs w:val="24"/>
        </w:rPr>
        <w:t>A check will be issued to You at the address on the sick leave request form; or</w:t>
      </w:r>
    </w:p>
    <w:p w:rsidR="0052116E" w:rsidRPr="0052116E" w:rsidRDefault="0052116E" w:rsidP="0052116E">
      <w:pPr>
        <w:pStyle w:val="ListParagraph"/>
        <w:spacing w:after="0" w:line="240" w:lineRule="auto"/>
        <w:ind w:left="1440" w:right="720"/>
        <w:jc w:val="both"/>
        <w:rPr>
          <w:rFonts w:cstheme="minorHAnsi"/>
          <w:sz w:val="24"/>
          <w:szCs w:val="24"/>
        </w:rPr>
      </w:pPr>
    </w:p>
    <w:p w:rsidR="0052116E" w:rsidRPr="0052116E" w:rsidRDefault="0052116E" w:rsidP="0052116E">
      <w:pPr>
        <w:pStyle w:val="ListParagraph"/>
        <w:numPr>
          <w:ilvl w:val="0"/>
          <w:numId w:val="9"/>
        </w:numPr>
        <w:spacing w:after="0" w:line="240" w:lineRule="auto"/>
        <w:ind w:right="720"/>
        <w:jc w:val="both"/>
        <w:rPr>
          <w:rFonts w:cstheme="minorHAnsi"/>
          <w:sz w:val="24"/>
          <w:szCs w:val="24"/>
        </w:rPr>
      </w:pPr>
      <w:r w:rsidRPr="0052116E">
        <w:rPr>
          <w:rFonts w:cstheme="minorHAnsi"/>
          <w:sz w:val="24"/>
          <w:szCs w:val="24"/>
        </w:rPr>
        <w:t xml:space="preserve">Payment will be made to a bank, savings and loan, or credit union by direct deposit so long as You provide necessary banking information.  </w:t>
      </w:r>
    </w:p>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spacing w:after="0" w:line="240" w:lineRule="auto"/>
        <w:ind w:left="1080" w:right="720"/>
        <w:jc w:val="both"/>
        <w:rPr>
          <w:rFonts w:cstheme="minorHAnsi"/>
          <w:sz w:val="24"/>
          <w:szCs w:val="24"/>
        </w:rPr>
      </w:pPr>
      <w:r w:rsidRPr="0052116E">
        <w:rPr>
          <w:rFonts w:cstheme="minorHAnsi"/>
          <w:sz w:val="24"/>
          <w:szCs w:val="24"/>
        </w:rPr>
        <w:t xml:space="preserve">A check will normally be issued or a direct deposit made within ten days after the Plan Administrator receives and approves Your sick leave request form.  </w:t>
      </w:r>
    </w:p>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spacing w:after="0" w:line="240" w:lineRule="auto"/>
        <w:ind w:left="1080" w:right="720"/>
        <w:jc w:val="both"/>
        <w:rPr>
          <w:rFonts w:cstheme="minorHAnsi"/>
          <w:sz w:val="24"/>
          <w:szCs w:val="24"/>
        </w:rPr>
      </w:pPr>
      <w:r w:rsidRPr="0052116E">
        <w:rPr>
          <w:rFonts w:cstheme="minorHAnsi"/>
          <w:b/>
          <w:sz w:val="24"/>
          <w:szCs w:val="24"/>
        </w:rPr>
        <w:t>Maximum Accumulation of Sick Leave Benefits in Your Sick Leave Account.</w:t>
      </w:r>
      <w:r w:rsidRPr="0052116E">
        <w:rPr>
          <w:rFonts w:cstheme="minorHAnsi"/>
          <w:sz w:val="24"/>
          <w:szCs w:val="24"/>
        </w:rPr>
        <w:t xml:space="preserve">  There is no maximum amount of sick leave benefits You may accumulate in Your Sick Leave Account.  </w:t>
      </w:r>
    </w:p>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spacing w:after="0" w:line="240" w:lineRule="auto"/>
        <w:ind w:left="1080" w:right="720"/>
        <w:jc w:val="both"/>
        <w:rPr>
          <w:rFonts w:cstheme="minorHAnsi"/>
          <w:sz w:val="24"/>
          <w:szCs w:val="24"/>
        </w:rPr>
      </w:pPr>
      <w:r w:rsidRPr="0052116E">
        <w:rPr>
          <w:rFonts w:cstheme="minorHAnsi"/>
          <w:b/>
          <w:sz w:val="24"/>
          <w:szCs w:val="24"/>
        </w:rPr>
        <w:t>Carryover of Sick Leave Benefits in Your Sick Leave Account.</w:t>
      </w:r>
      <w:r w:rsidRPr="0052116E">
        <w:rPr>
          <w:rFonts w:cstheme="minorHAnsi"/>
          <w:sz w:val="24"/>
          <w:szCs w:val="24"/>
        </w:rPr>
        <w:t xml:space="preserve">  Sick leave benefits are determined on a calendar year basis.  At the end of each calendar year, sick leave benefits in Your Sick Leave Account equal to 40 hours at the journeyman hourly wage (including vacation/holiday Contributions and sick leave Contributions) will remain in Your Sick Leave Account and carried over to the next calendar year.  Any sick leave benefits </w:t>
      </w:r>
      <w:proofErr w:type="gramStart"/>
      <w:r w:rsidRPr="0052116E">
        <w:rPr>
          <w:rFonts w:cstheme="minorHAnsi"/>
          <w:sz w:val="24"/>
          <w:szCs w:val="24"/>
        </w:rPr>
        <w:t>in excess of</w:t>
      </w:r>
      <w:proofErr w:type="gramEnd"/>
      <w:r w:rsidRPr="0052116E">
        <w:rPr>
          <w:rFonts w:cstheme="minorHAnsi"/>
          <w:sz w:val="24"/>
          <w:szCs w:val="24"/>
        </w:rPr>
        <w:t xml:space="preserve"> the carryover amount will be paid to You by check or ACH transfer.  For example, assume the journeyman hourly wage (including vacation/holiday Contributions and sick leave Contributions) is $45.00 on December 31, 2018.  Up to $1,800 ($45 per hour x 40 hours) will be carried over to Your Sick Leave Account in 2019 and any sick leave benefits in Your Sick Leave Account on December 31, 2018, </w:t>
      </w:r>
      <w:proofErr w:type="gramStart"/>
      <w:r w:rsidRPr="0052116E">
        <w:rPr>
          <w:rFonts w:cstheme="minorHAnsi"/>
          <w:sz w:val="24"/>
          <w:szCs w:val="24"/>
        </w:rPr>
        <w:t>in excess of</w:t>
      </w:r>
      <w:proofErr w:type="gramEnd"/>
      <w:r w:rsidRPr="0052116E">
        <w:rPr>
          <w:rFonts w:cstheme="minorHAnsi"/>
          <w:sz w:val="24"/>
          <w:szCs w:val="24"/>
        </w:rPr>
        <w:t xml:space="preserve"> $1,800 will be paid to You.  </w:t>
      </w:r>
    </w:p>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spacing w:after="0" w:line="240" w:lineRule="auto"/>
        <w:ind w:left="1080" w:right="720"/>
        <w:jc w:val="both"/>
        <w:rPr>
          <w:rFonts w:cstheme="minorHAnsi"/>
          <w:sz w:val="24"/>
          <w:szCs w:val="24"/>
        </w:rPr>
      </w:pPr>
      <w:r w:rsidRPr="0052116E">
        <w:rPr>
          <w:rFonts w:cstheme="minorHAnsi"/>
          <w:b/>
          <w:sz w:val="24"/>
          <w:szCs w:val="24"/>
        </w:rPr>
        <w:t>Minimum Payment from Your Sick Leave Account.</w:t>
      </w:r>
      <w:r w:rsidRPr="0052116E">
        <w:rPr>
          <w:rFonts w:cstheme="minorHAnsi"/>
          <w:sz w:val="24"/>
          <w:szCs w:val="24"/>
        </w:rPr>
        <w:t xml:space="preserve">  Payments from Your Sick Leave Account will be made in one-half hour increments, provided there are sufficient sick leave benefits in Your Sick Leave Account.  If You request sick leave benefits in other than one-half hour increments, the sick leave request, if granted, will be rounded up to the nearest one-half hour.  For example, if You have a qualifying reason for accessing Your Sick Leave Account and state on the sick leave request form You missed three hours and twenty minutes of work, </w:t>
      </w:r>
      <w:proofErr w:type="gramStart"/>
      <w:r w:rsidRPr="0052116E">
        <w:rPr>
          <w:rFonts w:cstheme="minorHAnsi"/>
          <w:sz w:val="24"/>
          <w:szCs w:val="24"/>
        </w:rPr>
        <w:t>You</w:t>
      </w:r>
      <w:proofErr w:type="gramEnd"/>
      <w:r w:rsidRPr="0052116E">
        <w:rPr>
          <w:rFonts w:cstheme="minorHAnsi"/>
          <w:sz w:val="24"/>
          <w:szCs w:val="24"/>
        </w:rPr>
        <w:t xml:space="preserve"> will receive three hours and thirty minutes of sick leave benefits.  </w:t>
      </w:r>
    </w:p>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spacing w:after="0" w:line="240" w:lineRule="auto"/>
        <w:ind w:left="1080" w:right="720"/>
        <w:jc w:val="both"/>
        <w:rPr>
          <w:rFonts w:cstheme="minorHAnsi"/>
          <w:sz w:val="24"/>
          <w:szCs w:val="24"/>
        </w:rPr>
      </w:pPr>
      <w:r w:rsidRPr="0052116E">
        <w:rPr>
          <w:rFonts w:cstheme="minorHAnsi"/>
          <w:b/>
          <w:sz w:val="24"/>
          <w:szCs w:val="24"/>
        </w:rPr>
        <w:t>Monthly Report regarding Your Sick Leave Account.</w:t>
      </w:r>
      <w:r w:rsidRPr="0052116E">
        <w:rPr>
          <w:rFonts w:cstheme="minorHAnsi"/>
          <w:sz w:val="24"/>
          <w:szCs w:val="24"/>
        </w:rPr>
        <w:t xml:space="preserve">  </w:t>
      </w:r>
      <w:proofErr w:type="gramStart"/>
      <w:r w:rsidRPr="0052116E">
        <w:rPr>
          <w:rFonts w:cstheme="minorHAnsi"/>
          <w:sz w:val="24"/>
          <w:szCs w:val="24"/>
        </w:rPr>
        <w:t>On a monthly basis</w:t>
      </w:r>
      <w:proofErr w:type="gramEnd"/>
      <w:r w:rsidRPr="0052116E">
        <w:rPr>
          <w:rFonts w:cstheme="minorHAnsi"/>
          <w:sz w:val="24"/>
          <w:szCs w:val="24"/>
        </w:rPr>
        <w:t>, the Plan Administrator shall provide You with a written report which includes the following information:</w:t>
      </w:r>
    </w:p>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numPr>
          <w:ilvl w:val="0"/>
          <w:numId w:val="10"/>
        </w:numPr>
        <w:spacing w:after="0" w:line="240" w:lineRule="auto"/>
        <w:ind w:right="720"/>
        <w:jc w:val="both"/>
        <w:rPr>
          <w:rFonts w:cstheme="minorHAnsi"/>
          <w:sz w:val="24"/>
          <w:szCs w:val="24"/>
        </w:rPr>
      </w:pPr>
      <w:r w:rsidRPr="0052116E">
        <w:rPr>
          <w:rFonts w:cstheme="minorHAnsi"/>
          <w:sz w:val="24"/>
          <w:szCs w:val="24"/>
        </w:rPr>
        <w:t>The sick leave Contributions made to Your Sick Leave Account since the last report;</w:t>
      </w:r>
    </w:p>
    <w:p w:rsidR="0052116E" w:rsidRPr="0052116E" w:rsidRDefault="0052116E" w:rsidP="0052116E">
      <w:pPr>
        <w:pStyle w:val="ListParagraph"/>
        <w:spacing w:after="0" w:line="240" w:lineRule="auto"/>
        <w:ind w:left="1440" w:right="720"/>
        <w:jc w:val="both"/>
        <w:rPr>
          <w:rFonts w:cstheme="minorHAnsi"/>
          <w:sz w:val="24"/>
          <w:szCs w:val="24"/>
        </w:rPr>
      </w:pPr>
    </w:p>
    <w:p w:rsidR="0052116E" w:rsidRPr="0052116E" w:rsidRDefault="0052116E" w:rsidP="0052116E">
      <w:pPr>
        <w:pStyle w:val="ListParagraph"/>
        <w:numPr>
          <w:ilvl w:val="0"/>
          <w:numId w:val="10"/>
        </w:numPr>
        <w:spacing w:after="0" w:line="240" w:lineRule="auto"/>
        <w:ind w:right="720"/>
        <w:jc w:val="both"/>
        <w:rPr>
          <w:rFonts w:cstheme="minorHAnsi"/>
          <w:sz w:val="24"/>
          <w:szCs w:val="24"/>
        </w:rPr>
      </w:pPr>
      <w:r w:rsidRPr="0052116E">
        <w:rPr>
          <w:rFonts w:cstheme="minorHAnsi"/>
          <w:sz w:val="24"/>
          <w:szCs w:val="24"/>
        </w:rPr>
        <w:t>The amount of sick leave benefits paid to You from Your Sick Leave Account since the last report; and</w:t>
      </w:r>
    </w:p>
    <w:p w:rsidR="0052116E" w:rsidRPr="0052116E" w:rsidRDefault="0052116E" w:rsidP="0052116E">
      <w:pPr>
        <w:pStyle w:val="ListParagraph"/>
        <w:spacing w:after="0" w:line="240" w:lineRule="auto"/>
        <w:rPr>
          <w:rFonts w:cstheme="minorHAnsi"/>
          <w:sz w:val="24"/>
          <w:szCs w:val="24"/>
        </w:rPr>
      </w:pPr>
    </w:p>
    <w:p w:rsidR="0052116E" w:rsidRPr="0052116E" w:rsidRDefault="0052116E" w:rsidP="0052116E">
      <w:pPr>
        <w:pStyle w:val="ListParagraph"/>
        <w:numPr>
          <w:ilvl w:val="0"/>
          <w:numId w:val="10"/>
        </w:numPr>
        <w:spacing w:after="0" w:line="240" w:lineRule="auto"/>
        <w:ind w:right="720"/>
        <w:jc w:val="both"/>
        <w:rPr>
          <w:rFonts w:cstheme="minorHAnsi"/>
          <w:sz w:val="24"/>
          <w:szCs w:val="24"/>
        </w:rPr>
      </w:pPr>
      <w:r w:rsidRPr="0052116E">
        <w:rPr>
          <w:rFonts w:cstheme="minorHAnsi"/>
          <w:sz w:val="24"/>
          <w:szCs w:val="24"/>
        </w:rPr>
        <w:t xml:space="preserve">The total sick leave benefits in Your Sick Leave Account.  </w:t>
      </w:r>
    </w:p>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spacing w:after="0" w:line="240" w:lineRule="auto"/>
        <w:ind w:left="1080" w:right="720"/>
        <w:jc w:val="both"/>
        <w:rPr>
          <w:rFonts w:cstheme="minorHAnsi"/>
          <w:sz w:val="24"/>
          <w:szCs w:val="24"/>
        </w:rPr>
      </w:pPr>
      <w:r w:rsidRPr="0052116E">
        <w:rPr>
          <w:rFonts w:cstheme="minorHAnsi"/>
          <w:sz w:val="24"/>
          <w:szCs w:val="24"/>
        </w:rPr>
        <w:t>The monthly report will normally be sent by the 20</w:t>
      </w:r>
      <w:r w:rsidRPr="0052116E">
        <w:rPr>
          <w:rFonts w:cstheme="minorHAnsi"/>
          <w:sz w:val="24"/>
          <w:szCs w:val="24"/>
          <w:vertAlign w:val="superscript"/>
        </w:rPr>
        <w:t>th</w:t>
      </w:r>
      <w:r w:rsidRPr="0052116E">
        <w:rPr>
          <w:rFonts w:cstheme="minorHAnsi"/>
          <w:sz w:val="24"/>
          <w:szCs w:val="24"/>
        </w:rPr>
        <w:t xml:space="preserve"> day of the month and cover all activities in Your Sick Leave Account through the last day of the previous month.  For example, a monthly report issued by August 20, 2018, will cover activities in Your Sick Leave Account through July 31, 2018.  </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b/>
          <w:sz w:val="24"/>
          <w:szCs w:val="24"/>
        </w:rPr>
        <w:t>Time Limit to Apply for Sick Leave Benefits from Your Sick Leave Account.</w:t>
      </w:r>
      <w:r w:rsidRPr="0052116E">
        <w:rPr>
          <w:rFonts w:cstheme="minorHAnsi"/>
          <w:sz w:val="24"/>
          <w:szCs w:val="24"/>
        </w:rPr>
        <w:t xml:space="preserve">  You must submit a sick leave request form to the Plan Administrator so it is received by January 15 or Your sick leave request will be denied as untimely.  For example, if You missed three hours of work due to a qualifying reason on August 1, 2018, the Plan Administrator must receive Your sick leave request form by January 15, 2019, or the sick leave request will be denied as untimely.  </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b/>
          <w:sz w:val="24"/>
          <w:szCs w:val="24"/>
        </w:rPr>
        <w:t>Reciprocity for Travelers.</w:t>
      </w:r>
      <w:r w:rsidRPr="0052116E">
        <w:rPr>
          <w:rFonts w:cstheme="minorHAnsi"/>
          <w:sz w:val="24"/>
          <w:szCs w:val="24"/>
        </w:rPr>
        <w:t xml:space="preserve">  If You are a traveler from a United Association local union who is temporarily working in Local 598’s geographic area and elect to have Your health contributions sent to Your home health trust, the Contribution to Your Sick Leave Account will not be reciprocated to Your home health trust, and a Sick Leave Account will be established for You.  </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bookmarkStart w:id="1" w:name="_Hlk516216969"/>
      <w:r w:rsidRPr="0052116E">
        <w:rPr>
          <w:rFonts w:cstheme="minorHAnsi"/>
          <w:sz w:val="24"/>
          <w:szCs w:val="24"/>
        </w:rPr>
        <w:lastRenderedPageBreak/>
        <w:t xml:space="preserve">If the Local 598 Trust is Your home trust, and You travel to another United Association local union’s geographic jurisdiction, and have Contributions reciprocated to this Trust, reciprocated Contributions will not be allocated to Your Sick Leave Account.  The reciprocated Contributions will be allocated to Your Reserve Account and/or HRA.  </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b/>
          <w:sz w:val="24"/>
          <w:szCs w:val="24"/>
        </w:rPr>
        <w:t>Retirement.</w:t>
      </w:r>
      <w:r w:rsidRPr="0052116E">
        <w:rPr>
          <w:rFonts w:cstheme="minorHAnsi"/>
          <w:sz w:val="24"/>
          <w:szCs w:val="24"/>
        </w:rPr>
        <w:t xml:space="preserve">  For purposes of this section of the Benefit Booklet, “retirement” means You are receiving a pension benefit from a pension plan associated with the United Association, such as the Plumbers and Pipefitters National Pension Fund, Local Union 598 Supplemental Pension Plan, or Washington State Plumbing and Pipefitting Industry Pension Plan.  Upon proof of “retirement,” any sick leave benefits in Your Sick Leave Account will be distributed to You.  </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b/>
          <w:sz w:val="24"/>
          <w:szCs w:val="24"/>
        </w:rPr>
        <w:t>Death.</w:t>
      </w:r>
      <w:r w:rsidRPr="0052116E">
        <w:rPr>
          <w:rFonts w:cstheme="minorHAnsi"/>
          <w:sz w:val="24"/>
          <w:szCs w:val="24"/>
        </w:rPr>
        <w:t xml:space="preserve">  In the event You die with sick leave benefits in Your Sick Leave Account, the sick leave benefits will be paid to the first of the following classes of beneficiaries that survive You:</w:t>
      </w:r>
    </w:p>
    <w:bookmarkEnd w:id="1"/>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pStyle w:val="ListParagraph"/>
        <w:numPr>
          <w:ilvl w:val="0"/>
          <w:numId w:val="11"/>
        </w:numPr>
        <w:spacing w:after="0" w:line="240" w:lineRule="auto"/>
        <w:ind w:right="720"/>
        <w:jc w:val="both"/>
        <w:rPr>
          <w:rFonts w:cstheme="minorHAnsi"/>
          <w:sz w:val="24"/>
          <w:szCs w:val="24"/>
        </w:rPr>
      </w:pPr>
      <w:bookmarkStart w:id="2" w:name="_Hlk516216982"/>
      <w:r w:rsidRPr="0052116E">
        <w:rPr>
          <w:rFonts w:cstheme="minorHAnsi"/>
          <w:sz w:val="24"/>
          <w:szCs w:val="24"/>
        </w:rPr>
        <w:t>Your legal spouse;</w:t>
      </w:r>
    </w:p>
    <w:p w:rsidR="0052116E" w:rsidRPr="0052116E" w:rsidRDefault="0052116E" w:rsidP="0052116E">
      <w:pPr>
        <w:pStyle w:val="ListParagraph"/>
        <w:spacing w:after="0" w:line="240" w:lineRule="auto"/>
        <w:ind w:left="1440" w:right="720"/>
        <w:jc w:val="both"/>
        <w:rPr>
          <w:rFonts w:cstheme="minorHAnsi"/>
          <w:sz w:val="24"/>
          <w:szCs w:val="24"/>
        </w:rPr>
      </w:pPr>
    </w:p>
    <w:p w:rsidR="0052116E" w:rsidRPr="0052116E" w:rsidRDefault="0052116E" w:rsidP="0052116E">
      <w:pPr>
        <w:pStyle w:val="ListParagraph"/>
        <w:numPr>
          <w:ilvl w:val="0"/>
          <w:numId w:val="11"/>
        </w:numPr>
        <w:spacing w:after="0" w:line="240" w:lineRule="auto"/>
        <w:ind w:right="720"/>
        <w:jc w:val="both"/>
        <w:rPr>
          <w:rFonts w:cstheme="minorHAnsi"/>
          <w:sz w:val="24"/>
          <w:szCs w:val="24"/>
        </w:rPr>
      </w:pPr>
      <w:r w:rsidRPr="0052116E">
        <w:rPr>
          <w:rFonts w:cstheme="minorHAnsi"/>
          <w:sz w:val="24"/>
          <w:szCs w:val="24"/>
        </w:rPr>
        <w:t>Your surviving children (including legally adopted children and step-children) in equal shares;</w:t>
      </w:r>
    </w:p>
    <w:p w:rsidR="0052116E" w:rsidRPr="0052116E" w:rsidRDefault="0052116E" w:rsidP="0052116E">
      <w:pPr>
        <w:pStyle w:val="ListParagraph"/>
        <w:spacing w:after="0" w:line="240" w:lineRule="auto"/>
        <w:jc w:val="both"/>
        <w:rPr>
          <w:rFonts w:cstheme="minorHAnsi"/>
          <w:sz w:val="24"/>
          <w:szCs w:val="24"/>
        </w:rPr>
      </w:pPr>
    </w:p>
    <w:p w:rsidR="0052116E" w:rsidRPr="0052116E" w:rsidRDefault="0052116E" w:rsidP="0052116E">
      <w:pPr>
        <w:pStyle w:val="ListParagraph"/>
        <w:numPr>
          <w:ilvl w:val="0"/>
          <w:numId w:val="11"/>
        </w:numPr>
        <w:spacing w:after="0" w:line="240" w:lineRule="auto"/>
        <w:ind w:right="720"/>
        <w:jc w:val="both"/>
        <w:rPr>
          <w:rFonts w:cstheme="minorHAnsi"/>
          <w:sz w:val="24"/>
          <w:szCs w:val="24"/>
        </w:rPr>
      </w:pPr>
      <w:r w:rsidRPr="0052116E">
        <w:rPr>
          <w:rFonts w:cstheme="minorHAnsi"/>
          <w:sz w:val="24"/>
          <w:szCs w:val="24"/>
        </w:rPr>
        <w:t>Your surviving parents in equal shares;</w:t>
      </w:r>
    </w:p>
    <w:p w:rsidR="0052116E" w:rsidRPr="0052116E" w:rsidRDefault="0052116E" w:rsidP="0052116E">
      <w:pPr>
        <w:pStyle w:val="ListParagraph"/>
        <w:spacing w:after="0" w:line="240" w:lineRule="auto"/>
        <w:jc w:val="both"/>
        <w:rPr>
          <w:rFonts w:cstheme="minorHAnsi"/>
          <w:sz w:val="24"/>
          <w:szCs w:val="24"/>
        </w:rPr>
      </w:pPr>
    </w:p>
    <w:p w:rsidR="0052116E" w:rsidRPr="0052116E" w:rsidRDefault="0052116E" w:rsidP="0052116E">
      <w:pPr>
        <w:pStyle w:val="ListParagraph"/>
        <w:numPr>
          <w:ilvl w:val="0"/>
          <w:numId w:val="11"/>
        </w:numPr>
        <w:spacing w:after="0" w:line="240" w:lineRule="auto"/>
        <w:ind w:right="720"/>
        <w:jc w:val="both"/>
        <w:rPr>
          <w:rFonts w:cstheme="minorHAnsi"/>
          <w:sz w:val="24"/>
          <w:szCs w:val="24"/>
        </w:rPr>
      </w:pPr>
      <w:r w:rsidRPr="0052116E">
        <w:rPr>
          <w:rFonts w:cstheme="minorHAnsi"/>
          <w:sz w:val="24"/>
          <w:szCs w:val="24"/>
        </w:rPr>
        <w:t>Your surviving siblings in equal shares;</w:t>
      </w:r>
    </w:p>
    <w:p w:rsidR="0052116E" w:rsidRPr="0052116E" w:rsidRDefault="0052116E" w:rsidP="0052116E">
      <w:pPr>
        <w:pStyle w:val="ListParagraph"/>
        <w:spacing w:after="0" w:line="240" w:lineRule="auto"/>
        <w:jc w:val="both"/>
        <w:rPr>
          <w:rFonts w:cstheme="minorHAnsi"/>
          <w:sz w:val="24"/>
          <w:szCs w:val="24"/>
        </w:rPr>
      </w:pPr>
    </w:p>
    <w:p w:rsidR="0052116E" w:rsidRPr="0052116E" w:rsidRDefault="0052116E" w:rsidP="0052116E">
      <w:pPr>
        <w:pStyle w:val="ListParagraph"/>
        <w:numPr>
          <w:ilvl w:val="0"/>
          <w:numId w:val="11"/>
        </w:numPr>
        <w:spacing w:after="0" w:line="240" w:lineRule="auto"/>
        <w:ind w:right="720"/>
        <w:jc w:val="both"/>
        <w:rPr>
          <w:rFonts w:cstheme="minorHAnsi"/>
          <w:sz w:val="24"/>
          <w:szCs w:val="24"/>
        </w:rPr>
      </w:pPr>
      <w:r w:rsidRPr="0052116E">
        <w:rPr>
          <w:rFonts w:cstheme="minorHAnsi"/>
          <w:sz w:val="24"/>
          <w:szCs w:val="24"/>
        </w:rPr>
        <w:t>To Your estate; or</w:t>
      </w:r>
    </w:p>
    <w:p w:rsidR="0052116E" w:rsidRPr="0052116E" w:rsidRDefault="0052116E" w:rsidP="0052116E">
      <w:pPr>
        <w:pStyle w:val="ListParagraph"/>
        <w:spacing w:after="0" w:line="240" w:lineRule="auto"/>
        <w:rPr>
          <w:rFonts w:cstheme="minorHAnsi"/>
          <w:sz w:val="24"/>
          <w:szCs w:val="24"/>
        </w:rPr>
      </w:pPr>
    </w:p>
    <w:p w:rsidR="0052116E" w:rsidRPr="0052116E" w:rsidRDefault="0052116E" w:rsidP="0052116E">
      <w:pPr>
        <w:pStyle w:val="ListParagraph"/>
        <w:numPr>
          <w:ilvl w:val="0"/>
          <w:numId w:val="11"/>
        </w:numPr>
        <w:spacing w:after="0" w:line="240" w:lineRule="auto"/>
        <w:ind w:right="720"/>
        <w:jc w:val="both"/>
        <w:rPr>
          <w:rFonts w:cstheme="minorHAnsi"/>
          <w:sz w:val="24"/>
          <w:szCs w:val="24"/>
        </w:rPr>
      </w:pPr>
      <w:r w:rsidRPr="0052116E">
        <w:rPr>
          <w:rFonts w:cstheme="minorHAnsi"/>
          <w:sz w:val="24"/>
          <w:szCs w:val="24"/>
        </w:rPr>
        <w:t xml:space="preserve">If a beneficiary cannot be located after reasonable search efforts by the Plan Administrator, the sick leave benefits will be forfeited to the Trust subject to reinstatement if a beneficiary later appears.  </w:t>
      </w:r>
    </w:p>
    <w:bookmarkEnd w:id="2"/>
    <w:p w:rsidR="0052116E" w:rsidRPr="0052116E" w:rsidRDefault="0052116E" w:rsidP="0052116E">
      <w:pPr>
        <w:pStyle w:val="ListParagraph"/>
        <w:spacing w:after="0" w:line="240" w:lineRule="auto"/>
        <w:jc w:val="both"/>
        <w:rPr>
          <w:rFonts w:cstheme="minorHAnsi"/>
          <w:sz w:val="24"/>
          <w:szCs w:val="24"/>
        </w:rPr>
      </w:pPr>
    </w:p>
    <w:p w:rsidR="0052116E" w:rsidRPr="0052116E" w:rsidRDefault="0052116E" w:rsidP="0052116E">
      <w:pPr>
        <w:pStyle w:val="ListParagraph"/>
        <w:spacing w:after="0" w:line="240" w:lineRule="auto"/>
        <w:ind w:left="1080" w:right="720"/>
        <w:jc w:val="both"/>
        <w:rPr>
          <w:rFonts w:cstheme="minorHAnsi"/>
          <w:sz w:val="24"/>
          <w:szCs w:val="24"/>
        </w:rPr>
      </w:pPr>
      <w:bookmarkStart w:id="3" w:name="_Hlk516217009"/>
      <w:r w:rsidRPr="0052116E">
        <w:rPr>
          <w:rFonts w:cstheme="minorHAnsi"/>
          <w:b/>
          <w:sz w:val="24"/>
          <w:szCs w:val="24"/>
        </w:rPr>
        <w:t>Divorce and Legal Separation.</w:t>
      </w:r>
      <w:r w:rsidRPr="0052116E">
        <w:rPr>
          <w:rFonts w:cstheme="minorHAnsi"/>
          <w:sz w:val="24"/>
          <w:szCs w:val="24"/>
        </w:rPr>
        <w:t xml:space="preserve">  In the event of a divorce or legal separation, </w:t>
      </w:r>
      <w:proofErr w:type="gramStart"/>
      <w:r w:rsidRPr="0052116E">
        <w:rPr>
          <w:rFonts w:cstheme="minorHAnsi"/>
          <w:sz w:val="24"/>
          <w:szCs w:val="24"/>
        </w:rPr>
        <w:t>Your</w:t>
      </w:r>
      <w:proofErr w:type="gramEnd"/>
      <w:r w:rsidRPr="0052116E">
        <w:rPr>
          <w:rFonts w:cstheme="minorHAnsi"/>
          <w:sz w:val="24"/>
          <w:szCs w:val="24"/>
        </w:rPr>
        <w:t xml:space="preserve"> former spouse will have no right to the sick leave benefits in Your Sick Leave Account as part of a property settlement.  </w:t>
      </w:r>
    </w:p>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spacing w:after="0" w:line="240" w:lineRule="auto"/>
        <w:ind w:left="1080" w:right="720"/>
        <w:jc w:val="both"/>
        <w:rPr>
          <w:rFonts w:cstheme="minorHAnsi"/>
          <w:sz w:val="24"/>
          <w:szCs w:val="24"/>
        </w:rPr>
      </w:pPr>
      <w:r w:rsidRPr="0052116E">
        <w:rPr>
          <w:rFonts w:cstheme="minorHAnsi"/>
          <w:b/>
          <w:sz w:val="24"/>
          <w:szCs w:val="24"/>
        </w:rPr>
        <w:t>Forfeiture</w:t>
      </w:r>
      <w:r w:rsidRPr="0052116E">
        <w:rPr>
          <w:rFonts w:cstheme="minorHAnsi"/>
          <w:sz w:val="24"/>
          <w:szCs w:val="24"/>
        </w:rPr>
        <w:t>.  The sick leave benefits in Your Sick Leave Account will forfeit to the Trust if the following occurs:</w:t>
      </w:r>
    </w:p>
    <w:bookmarkEnd w:id="3"/>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numPr>
          <w:ilvl w:val="0"/>
          <w:numId w:val="12"/>
        </w:numPr>
        <w:spacing w:after="0" w:line="240" w:lineRule="auto"/>
        <w:ind w:right="720"/>
        <w:jc w:val="both"/>
        <w:rPr>
          <w:rFonts w:cstheme="minorHAnsi"/>
          <w:sz w:val="24"/>
          <w:szCs w:val="24"/>
        </w:rPr>
      </w:pPr>
      <w:bookmarkStart w:id="4" w:name="_Hlk516217018"/>
      <w:r w:rsidRPr="0052116E">
        <w:rPr>
          <w:rFonts w:cstheme="minorHAnsi"/>
          <w:sz w:val="24"/>
          <w:szCs w:val="24"/>
        </w:rPr>
        <w:t>There have been no Contributions made to Your Sick Leave Account for 24 consecutive months; and</w:t>
      </w:r>
    </w:p>
    <w:p w:rsidR="0052116E" w:rsidRPr="0052116E" w:rsidRDefault="0052116E" w:rsidP="0052116E">
      <w:pPr>
        <w:pStyle w:val="ListParagraph"/>
        <w:spacing w:after="0" w:line="240" w:lineRule="auto"/>
        <w:ind w:left="1440" w:right="720"/>
        <w:jc w:val="both"/>
        <w:rPr>
          <w:rFonts w:cstheme="minorHAnsi"/>
          <w:sz w:val="24"/>
          <w:szCs w:val="24"/>
        </w:rPr>
      </w:pPr>
    </w:p>
    <w:p w:rsidR="0052116E" w:rsidRPr="0052116E" w:rsidRDefault="0052116E" w:rsidP="0052116E">
      <w:pPr>
        <w:pStyle w:val="ListParagraph"/>
        <w:numPr>
          <w:ilvl w:val="0"/>
          <w:numId w:val="12"/>
        </w:numPr>
        <w:spacing w:after="0" w:line="240" w:lineRule="auto"/>
        <w:ind w:right="720"/>
        <w:jc w:val="both"/>
        <w:rPr>
          <w:rFonts w:cstheme="minorHAnsi"/>
          <w:sz w:val="24"/>
          <w:szCs w:val="24"/>
        </w:rPr>
      </w:pPr>
      <w:r w:rsidRPr="0052116E">
        <w:rPr>
          <w:rFonts w:cstheme="minorHAnsi"/>
          <w:sz w:val="24"/>
          <w:szCs w:val="24"/>
        </w:rPr>
        <w:t xml:space="preserve">There have been no payments to You from Your Sick Leave Account for 24 consecutive months.  </w:t>
      </w:r>
    </w:p>
    <w:bookmarkEnd w:id="4"/>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spacing w:after="0" w:line="240" w:lineRule="auto"/>
        <w:ind w:left="1080" w:right="720"/>
        <w:jc w:val="both"/>
        <w:rPr>
          <w:rFonts w:cstheme="minorHAnsi"/>
          <w:sz w:val="24"/>
          <w:szCs w:val="24"/>
        </w:rPr>
      </w:pPr>
      <w:bookmarkStart w:id="5" w:name="_Hlk516217035"/>
      <w:r w:rsidRPr="0052116E">
        <w:rPr>
          <w:rFonts w:cstheme="minorHAnsi"/>
          <w:b/>
          <w:sz w:val="24"/>
          <w:szCs w:val="24"/>
        </w:rPr>
        <w:t xml:space="preserve">Claims Appeal Procedures.  </w:t>
      </w:r>
      <w:r w:rsidRPr="0052116E">
        <w:rPr>
          <w:rFonts w:cstheme="minorHAnsi"/>
          <w:sz w:val="24"/>
          <w:szCs w:val="24"/>
        </w:rPr>
        <w:t xml:space="preserve">You have the right to appeal any decision by the Plan Administrator related to Your Sick Leave Account.  You must follow the </w:t>
      </w:r>
      <w:r w:rsidRPr="0052116E">
        <w:rPr>
          <w:rFonts w:cstheme="minorHAnsi"/>
          <w:b/>
          <w:sz w:val="24"/>
          <w:szCs w:val="24"/>
        </w:rPr>
        <w:t>CLAIM APPEAL PROCEDURES</w:t>
      </w:r>
      <w:r w:rsidRPr="0052116E">
        <w:rPr>
          <w:rFonts w:cstheme="minorHAnsi"/>
          <w:sz w:val="24"/>
          <w:szCs w:val="24"/>
        </w:rPr>
        <w:t xml:space="preserve"> which are described on page 133 of the Benefit Booklet.  </w:t>
      </w:r>
    </w:p>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spacing w:after="0" w:line="240" w:lineRule="auto"/>
        <w:ind w:left="1080" w:right="720"/>
        <w:jc w:val="both"/>
        <w:rPr>
          <w:rFonts w:cstheme="minorHAnsi"/>
          <w:sz w:val="24"/>
          <w:szCs w:val="24"/>
        </w:rPr>
      </w:pPr>
      <w:r w:rsidRPr="0052116E">
        <w:rPr>
          <w:rFonts w:cstheme="minorHAnsi"/>
          <w:b/>
          <w:sz w:val="24"/>
          <w:szCs w:val="24"/>
        </w:rPr>
        <w:t>Retaliation Prohibited.</w:t>
      </w:r>
      <w:r w:rsidRPr="0052116E">
        <w:rPr>
          <w:rFonts w:cstheme="minorHAnsi"/>
          <w:sz w:val="24"/>
          <w:szCs w:val="24"/>
        </w:rPr>
        <w:t xml:space="preserve">  Any discrimination or retaliation against You for the lawful exercise of sick leave benefits is not allowed.  You will not be disciplined for the lawful use of sick leave benefits.  The Trust will not discriminate or retaliate against You for the lawful exercise of Your rights.  </w:t>
      </w:r>
    </w:p>
    <w:p w:rsidR="0052116E" w:rsidRPr="0052116E" w:rsidRDefault="0052116E" w:rsidP="0052116E">
      <w:pPr>
        <w:pStyle w:val="ListParagraph"/>
        <w:spacing w:after="0" w:line="240" w:lineRule="auto"/>
        <w:ind w:left="1080" w:right="720"/>
        <w:jc w:val="both"/>
        <w:rPr>
          <w:rFonts w:cstheme="minorHAnsi"/>
          <w:sz w:val="24"/>
          <w:szCs w:val="24"/>
        </w:rPr>
      </w:pPr>
    </w:p>
    <w:p w:rsidR="0052116E" w:rsidRPr="0052116E" w:rsidRDefault="0052116E" w:rsidP="0052116E">
      <w:pPr>
        <w:pStyle w:val="ListParagraph"/>
        <w:spacing w:after="0" w:line="240" w:lineRule="auto"/>
        <w:ind w:left="1080" w:right="720"/>
        <w:jc w:val="both"/>
        <w:rPr>
          <w:rFonts w:cstheme="minorHAnsi"/>
          <w:sz w:val="24"/>
          <w:szCs w:val="24"/>
        </w:rPr>
      </w:pPr>
      <w:r w:rsidRPr="0052116E">
        <w:rPr>
          <w:rFonts w:cstheme="minorHAnsi"/>
          <w:b/>
          <w:sz w:val="24"/>
          <w:szCs w:val="24"/>
        </w:rPr>
        <w:t>Interpretation of Sick Leave Benefits.</w:t>
      </w:r>
      <w:r w:rsidRPr="0052116E">
        <w:rPr>
          <w:rFonts w:cstheme="minorHAnsi"/>
          <w:sz w:val="24"/>
          <w:szCs w:val="24"/>
        </w:rPr>
        <w:t xml:space="preserve">  Any ambiguities in this section of the Benefit Booklet will be interpreted in a manner consistent with applicable paid sick leave statutes and administrative rules for Washington.  Sick leave benefits are intended to comply with Washington law and help ensure that an Employee who misses work for a qualifying reason will be paid his/her normal hourly wage for time away from work to the extent that there are sick leave benefits in the Employee’s Sick Leave Account.  </w:t>
      </w:r>
    </w:p>
    <w:bookmarkEnd w:id="5"/>
    <w:p w:rsidR="0052116E" w:rsidRPr="0052116E" w:rsidRDefault="0052116E" w:rsidP="0052116E">
      <w:pPr>
        <w:spacing w:after="0" w:line="240" w:lineRule="auto"/>
        <w:jc w:val="both"/>
        <w:rPr>
          <w:rFonts w:cstheme="minorHAnsi"/>
          <w:sz w:val="24"/>
          <w:szCs w:val="24"/>
        </w:rPr>
      </w:pPr>
    </w:p>
    <w:p w:rsidR="0052116E" w:rsidRPr="0052116E" w:rsidRDefault="0052116E" w:rsidP="0052116E">
      <w:pPr>
        <w:spacing w:after="0" w:line="240" w:lineRule="auto"/>
        <w:jc w:val="both"/>
        <w:rPr>
          <w:rFonts w:cstheme="minorHAnsi"/>
          <w:sz w:val="24"/>
          <w:szCs w:val="24"/>
        </w:rPr>
      </w:pPr>
    </w:p>
    <w:p w:rsidR="0052116E" w:rsidRPr="0052116E" w:rsidRDefault="0052116E" w:rsidP="0052116E">
      <w:pPr>
        <w:keepNext/>
        <w:numPr>
          <w:ilvl w:val="0"/>
          <w:numId w:val="7"/>
        </w:numPr>
        <w:spacing w:after="0" w:line="240" w:lineRule="auto"/>
        <w:ind w:left="0" w:firstLine="0"/>
        <w:jc w:val="both"/>
        <w:rPr>
          <w:rFonts w:cstheme="minorHAnsi"/>
          <w:sz w:val="24"/>
          <w:szCs w:val="24"/>
        </w:rPr>
      </w:pPr>
      <w:r w:rsidRPr="0052116E">
        <w:rPr>
          <w:rFonts w:cstheme="minorHAnsi"/>
          <w:sz w:val="24"/>
          <w:szCs w:val="24"/>
        </w:rPr>
        <w:t xml:space="preserve">On page 133 of the Benefit Booklet, the paragraph below the heading </w:t>
      </w:r>
      <w:r w:rsidRPr="0052116E">
        <w:rPr>
          <w:rFonts w:cstheme="minorHAnsi"/>
          <w:b/>
          <w:sz w:val="24"/>
          <w:szCs w:val="24"/>
        </w:rPr>
        <w:t>WHERE TO FILE AN APPEAL</w:t>
      </w:r>
      <w:r w:rsidRPr="0052116E">
        <w:rPr>
          <w:rFonts w:cstheme="minorHAnsi"/>
          <w:sz w:val="24"/>
          <w:szCs w:val="24"/>
        </w:rPr>
        <w:t xml:space="preserve"> is amended to read as follows:</w:t>
      </w:r>
    </w:p>
    <w:p w:rsidR="0052116E" w:rsidRPr="0052116E" w:rsidRDefault="0052116E" w:rsidP="0052116E">
      <w:pPr>
        <w:keepNext/>
        <w:spacing w:after="0" w:line="240" w:lineRule="auto"/>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t>All types of appeals involving eligibility for coverage, medical, dental, HRA, vacation/holiday, and sick leave benefits should be submitted in writing to:</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440" w:right="720"/>
        <w:jc w:val="both"/>
        <w:rPr>
          <w:rFonts w:cstheme="minorHAnsi"/>
          <w:sz w:val="24"/>
          <w:szCs w:val="24"/>
        </w:rPr>
      </w:pPr>
      <w:r w:rsidRPr="0052116E">
        <w:rPr>
          <w:rFonts w:cstheme="minorHAnsi"/>
          <w:sz w:val="24"/>
          <w:szCs w:val="24"/>
        </w:rPr>
        <w:t>Local Union 598 Plumbing &amp; Pipefitting Industry Health &amp; Welfare Fund</w:t>
      </w:r>
    </w:p>
    <w:p w:rsidR="0052116E" w:rsidRPr="0052116E" w:rsidRDefault="0052116E" w:rsidP="0052116E">
      <w:pPr>
        <w:spacing w:after="0" w:line="240" w:lineRule="auto"/>
        <w:ind w:left="1440" w:right="720"/>
        <w:jc w:val="both"/>
        <w:rPr>
          <w:rFonts w:cstheme="minorHAnsi"/>
          <w:sz w:val="24"/>
          <w:szCs w:val="24"/>
        </w:rPr>
      </w:pPr>
      <w:r w:rsidRPr="0052116E">
        <w:rPr>
          <w:rFonts w:cstheme="minorHAnsi"/>
          <w:sz w:val="24"/>
          <w:szCs w:val="24"/>
        </w:rPr>
        <w:t xml:space="preserve">c/o </w:t>
      </w:r>
      <w:proofErr w:type="spellStart"/>
      <w:r w:rsidRPr="0052116E">
        <w:rPr>
          <w:rFonts w:cstheme="minorHAnsi"/>
          <w:sz w:val="24"/>
          <w:szCs w:val="24"/>
        </w:rPr>
        <w:t>BeneSys</w:t>
      </w:r>
      <w:proofErr w:type="spellEnd"/>
      <w:r w:rsidRPr="0052116E">
        <w:rPr>
          <w:rFonts w:cstheme="minorHAnsi"/>
          <w:sz w:val="24"/>
          <w:szCs w:val="24"/>
        </w:rPr>
        <w:t>, Inc.</w:t>
      </w:r>
    </w:p>
    <w:p w:rsidR="0052116E" w:rsidRPr="0052116E" w:rsidRDefault="0052116E" w:rsidP="0052116E">
      <w:pPr>
        <w:spacing w:after="0" w:line="240" w:lineRule="auto"/>
        <w:ind w:left="1440" w:right="720"/>
        <w:jc w:val="both"/>
        <w:rPr>
          <w:rFonts w:cstheme="minorHAnsi"/>
          <w:sz w:val="24"/>
          <w:szCs w:val="24"/>
        </w:rPr>
      </w:pPr>
      <w:r w:rsidRPr="0052116E">
        <w:rPr>
          <w:rFonts w:cstheme="minorHAnsi"/>
          <w:sz w:val="24"/>
          <w:szCs w:val="24"/>
        </w:rPr>
        <w:t>5331 SW Macadam Avenue</w:t>
      </w:r>
    </w:p>
    <w:p w:rsidR="0052116E" w:rsidRPr="0052116E" w:rsidRDefault="0052116E" w:rsidP="0052116E">
      <w:pPr>
        <w:spacing w:after="0" w:line="240" w:lineRule="auto"/>
        <w:ind w:left="1440" w:right="720"/>
        <w:jc w:val="both"/>
        <w:rPr>
          <w:rFonts w:cstheme="minorHAnsi"/>
          <w:sz w:val="24"/>
          <w:szCs w:val="24"/>
        </w:rPr>
      </w:pPr>
      <w:r w:rsidRPr="0052116E">
        <w:rPr>
          <w:rFonts w:cstheme="minorHAnsi"/>
          <w:sz w:val="24"/>
          <w:szCs w:val="24"/>
        </w:rPr>
        <w:t>Suite 258, PMB #116</w:t>
      </w:r>
    </w:p>
    <w:p w:rsidR="0052116E" w:rsidRPr="0052116E" w:rsidRDefault="0052116E" w:rsidP="0052116E">
      <w:pPr>
        <w:spacing w:after="0" w:line="240" w:lineRule="auto"/>
        <w:ind w:left="1440" w:right="720"/>
        <w:jc w:val="both"/>
        <w:rPr>
          <w:rFonts w:cstheme="minorHAnsi"/>
          <w:sz w:val="24"/>
          <w:szCs w:val="24"/>
        </w:rPr>
      </w:pPr>
      <w:r w:rsidRPr="0052116E">
        <w:rPr>
          <w:rFonts w:cstheme="minorHAnsi"/>
          <w:sz w:val="24"/>
          <w:szCs w:val="24"/>
        </w:rPr>
        <w:t>Portland, OR 97239</w:t>
      </w:r>
    </w:p>
    <w:p w:rsidR="0052116E" w:rsidRPr="0052116E" w:rsidRDefault="0052116E" w:rsidP="0052116E">
      <w:pPr>
        <w:keepNext/>
        <w:spacing w:after="0" w:line="240" w:lineRule="auto"/>
        <w:jc w:val="both"/>
        <w:rPr>
          <w:rFonts w:cstheme="minorHAnsi"/>
          <w:sz w:val="24"/>
          <w:szCs w:val="24"/>
        </w:rPr>
      </w:pPr>
    </w:p>
    <w:p w:rsidR="0052116E" w:rsidRPr="0052116E" w:rsidRDefault="0052116E" w:rsidP="0052116E">
      <w:pPr>
        <w:keepNext/>
        <w:numPr>
          <w:ilvl w:val="0"/>
          <w:numId w:val="7"/>
        </w:numPr>
        <w:spacing w:after="0" w:line="240" w:lineRule="auto"/>
        <w:ind w:left="0" w:firstLine="0"/>
        <w:jc w:val="both"/>
        <w:rPr>
          <w:rFonts w:cstheme="minorHAnsi"/>
          <w:sz w:val="24"/>
          <w:szCs w:val="24"/>
        </w:rPr>
      </w:pPr>
      <w:r w:rsidRPr="0052116E">
        <w:rPr>
          <w:rFonts w:cstheme="minorHAnsi"/>
          <w:sz w:val="24"/>
          <w:szCs w:val="24"/>
        </w:rPr>
        <w:t xml:space="preserve">On page 134 of the Benefit Booklet, the material in the fourth box below the heading </w:t>
      </w:r>
      <w:r w:rsidRPr="0052116E">
        <w:rPr>
          <w:rFonts w:cstheme="minorHAnsi"/>
          <w:b/>
          <w:sz w:val="24"/>
          <w:szCs w:val="24"/>
        </w:rPr>
        <w:t>Time Frame for Initial Decision by Plan Administrator</w:t>
      </w:r>
      <w:r w:rsidRPr="0052116E">
        <w:rPr>
          <w:rFonts w:cstheme="minorHAnsi"/>
          <w:sz w:val="24"/>
          <w:szCs w:val="24"/>
        </w:rPr>
        <w:t xml:space="preserve"> is amended to read as follows:</w:t>
      </w:r>
    </w:p>
    <w:p w:rsidR="0052116E" w:rsidRPr="0052116E" w:rsidRDefault="0052116E" w:rsidP="0052116E">
      <w:pPr>
        <w:keepNext/>
        <w:spacing w:after="0" w:line="240" w:lineRule="auto"/>
        <w:jc w:val="both"/>
        <w:rPr>
          <w:rFonts w:cstheme="minorHAnsi"/>
          <w:sz w:val="24"/>
          <w:szCs w:val="24"/>
        </w:rPr>
      </w:pPr>
    </w:p>
    <w:p w:rsidR="0052116E" w:rsidRPr="0052116E" w:rsidRDefault="0052116E" w:rsidP="0052116E">
      <w:pPr>
        <w:spacing w:after="0" w:line="240" w:lineRule="auto"/>
        <w:ind w:left="1080" w:right="720"/>
        <w:jc w:val="both"/>
        <w:rPr>
          <w:rFonts w:cstheme="minorHAnsi"/>
          <w:b/>
          <w:sz w:val="24"/>
          <w:szCs w:val="24"/>
        </w:rPr>
      </w:pPr>
      <w:r w:rsidRPr="0052116E">
        <w:rPr>
          <w:rFonts w:cstheme="minorHAnsi"/>
          <w:b/>
          <w:sz w:val="24"/>
          <w:szCs w:val="24"/>
        </w:rPr>
        <w:t>Time Frame for Initial Decision by Plan Administrator</w:t>
      </w:r>
    </w:p>
    <w:p w:rsidR="0052116E" w:rsidRPr="0052116E" w:rsidRDefault="0052116E" w:rsidP="0052116E">
      <w:pPr>
        <w:spacing w:after="0" w:line="240" w:lineRule="auto"/>
        <w:ind w:left="1080" w:right="720"/>
        <w:jc w:val="both"/>
        <w:rPr>
          <w:rFonts w:cstheme="minorHAnsi"/>
          <w:sz w:val="24"/>
          <w:szCs w:val="24"/>
        </w:rPr>
      </w:pPr>
    </w:p>
    <w:p w:rsidR="0052116E" w:rsidRPr="0052116E" w:rsidRDefault="0052116E" w:rsidP="0052116E">
      <w:pPr>
        <w:spacing w:after="0" w:line="240" w:lineRule="auto"/>
        <w:ind w:left="1080" w:right="720"/>
        <w:jc w:val="both"/>
        <w:rPr>
          <w:rFonts w:cstheme="minorHAnsi"/>
          <w:sz w:val="24"/>
          <w:szCs w:val="24"/>
        </w:rPr>
      </w:pPr>
      <w:r w:rsidRPr="0052116E">
        <w:rPr>
          <w:rFonts w:cstheme="minorHAnsi"/>
          <w:sz w:val="24"/>
          <w:szCs w:val="24"/>
        </w:rPr>
        <w:lastRenderedPageBreak/>
        <w:t>The time frame in which an initial decision concerning a claim will be made depends on the type of claim submitted. There are different time frames for different types of claims as follows:</w:t>
      </w:r>
    </w:p>
    <w:p w:rsidR="0052116E" w:rsidRPr="0052116E" w:rsidRDefault="0052116E" w:rsidP="0052116E">
      <w:pPr>
        <w:spacing w:after="0" w:line="240" w:lineRule="auto"/>
        <w:ind w:left="1080" w:right="720"/>
        <w:jc w:val="both"/>
        <w:rPr>
          <w:rFonts w:cstheme="minorHAnsi"/>
          <w:sz w:val="24"/>
          <w:szCs w:val="24"/>
        </w:rPr>
      </w:pPr>
    </w:p>
    <w:tbl>
      <w:tblPr>
        <w:tblW w:w="0" w:type="auto"/>
        <w:tblInd w:w="107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6390"/>
        <w:gridCol w:w="1281"/>
      </w:tblGrid>
      <w:tr w:rsidR="0052116E" w:rsidRPr="0052116E" w:rsidTr="0052116E">
        <w:tc>
          <w:tcPr>
            <w:tcW w:w="6390" w:type="dxa"/>
            <w:tcBorders>
              <w:top w:val="single" w:sz="2" w:space="0" w:color="auto"/>
              <w:left w:val="single" w:sz="2" w:space="0" w:color="auto"/>
              <w:bottom w:val="single" w:sz="2" w:space="0" w:color="auto"/>
              <w:right w:val="single" w:sz="2" w:space="0" w:color="auto"/>
            </w:tcBorders>
            <w:vAlign w:val="center"/>
            <w:hideMark/>
          </w:tcPr>
          <w:p w:rsidR="0052116E" w:rsidRPr="0052116E" w:rsidRDefault="0052116E" w:rsidP="0052116E">
            <w:pPr>
              <w:spacing w:after="0" w:line="240" w:lineRule="auto"/>
              <w:jc w:val="both"/>
              <w:rPr>
                <w:rFonts w:eastAsia="Times New Roman" w:cstheme="minorHAnsi"/>
                <w:sz w:val="24"/>
                <w:szCs w:val="24"/>
              </w:rPr>
            </w:pPr>
            <w:r w:rsidRPr="0052116E">
              <w:rPr>
                <w:rFonts w:eastAsia="Times New Roman" w:cstheme="minorHAnsi"/>
                <w:sz w:val="24"/>
                <w:szCs w:val="24"/>
              </w:rPr>
              <w:t>Medical and prescription drugs (post-service claims)</w:t>
            </w:r>
          </w:p>
        </w:tc>
        <w:tc>
          <w:tcPr>
            <w:tcW w:w="1281" w:type="dxa"/>
            <w:tcBorders>
              <w:top w:val="single" w:sz="2" w:space="0" w:color="auto"/>
              <w:left w:val="single" w:sz="2" w:space="0" w:color="auto"/>
              <w:bottom w:val="single" w:sz="2" w:space="0" w:color="auto"/>
              <w:right w:val="single" w:sz="2" w:space="0" w:color="auto"/>
            </w:tcBorders>
            <w:vAlign w:val="center"/>
            <w:hideMark/>
          </w:tcPr>
          <w:p w:rsidR="0052116E" w:rsidRPr="0052116E" w:rsidRDefault="0052116E" w:rsidP="0052116E">
            <w:pPr>
              <w:spacing w:after="0" w:line="240" w:lineRule="auto"/>
              <w:jc w:val="center"/>
              <w:rPr>
                <w:rFonts w:eastAsia="Times New Roman" w:cstheme="minorHAnsi"/>
                <w:sz w:val="24"/>
                <w:szCs w:val="24"/>
              </w:rPr>
            </w:pPr>
            <w:r w:rsidRPr="0052116E">
              <w:rPr>
                <w:rFonts w:eastAsia="Times New Roman" w:cstheme="minorHAnsi"/>
                <w:sz w:val="24"/>
                <w:szCs w:val="24"/>
              </w:rPr>
              <w:t>30 days</w:t>
            </w:r>
          </w:p>
        </w:tc>
      </w:tr>
      <w:tr w:rsidR="0052116E" w:rsidRPr="0052116E" w:rsidTr="0052116E">
        <w:tc>
          <w:tcPr>
            <w:tcW w:w="6390" w:type="dxa"/>
            <w:tcBorders>
              <w:top w:val="single" w:sz="2" w:space="0" w:color="auto"/>
              <w:left w:val="single" w:sz="2" w:space="0" w:color="auto"/>
              <w:bottom w:val="single" w:sz="2" w:space="0" w:color="auto"/>
              <w:right w:val="single" w:sz="2" w:space="0" w:color="auto"/>
            </w:tcBorders>
            <w:vAlign w:val="center"/>
            <w:hideMark/>
          </w:tcPr>
          <w:p w:rsidR="0052116E" w:rsidRPr="0052116E" w:rsidRDefault="0052116E" w:rsidP="0052116E">
            <w:pPr>
              <w:spacing w:after="0" w:line="240" w:lineRule="auto"/>
              <w:jc w:val="both"/>
              <w:rPr>
                <w:rFonts w:eastAsia="Times New Roman" w:cstheme="minorHAnsi"/>
                <w:sz w:val="24"/>
                <w:szCs w:val="24"/>
              </w:rPr>
            </w:pPr>
            <w:r w:rsidRPr="0052116E">
              <w:rPr>
                <w:rFonts w:eastAsia="Times New Roman" w:cstheme="minorHAnsi"/>
                <w:sz w:val="24"/>
                <w:szCs w:val="24"/>
              </w:rPr>
              <w:t xml:space="preserve">Dental </w:t>
            </w:r>
          </w:p>
        </w:tc>
        <w:tc>
          <w:tcPr>
            <w:tcW w:w="1281" w:type="dxa"/>
            <w:tcBorders>
              <w:top w:val="single" w:sz="2" w:space="0" w:color="auto"/>
              <w:left w:val="single" w:sz="2" w:space="0" w:color="auto"/>
              <w:bottom w:val="single" w:sz="2" w:space="0" w:color="auto"/>
              <w:right w:val="single" w:sz="2" w:space="0" w:color="auto"/>
            </w:tcBorders>
            <w:vAlign w:val="center"/>
            <w:hideMark/>
          </w:tcPr>
          <w:p w:rsidR="0052116E" w:rsidRPr="0052116E" w:rsidRDefault="0052116E" w:rsidP="0052116E">
            <w:pPr>
              <w:spacing w:after="0" w:line="240" w:lineRule="auto"/>
              <w:jc w:val="center"/>
              <w:rPr>
                <w:rFonts w:eastAsia="Times New Roman" w:cstheme="minorHAnsi"/>
                <w:sz w:val="24"/>
                <w:szCs w:val="24"/>
              </w:rPr>
            </w:pPr>
            <w:r w:rsidRPr="0052116E">
              <w:rPr>
                <w:rFonts w:eastAsia="Times New Roman" w:cstheme="minorHAnsi"/>
                <w:sz w:val="24"/>
                <w:szCs w:val="24"/>
              </w:rPr>
              <w:t>30 days</w:t>
            </w:r>
          </w:p>
        </w:tc>
      </w:tr>
      <w:tr w:rsidR="0052116E" w:rsidRPr="0052116E" w:rsidTr="0052116E">
        <w:tc>
          <w:tcPr>
            <w:tcW w:w="6390" w:type="dxa"/>
            <w:tcBorders>
              <w:top w:val="single" w:sz="2" w:space="0" w:color="auto"/>
              <w:left w:val="single" w:sz="2" w:space="0" w:color="auto"/>
              <w:bottom w:val="single" w:sz="2" w:space="0" w:color="auto"/>
              <w:right w:val="single" w:sz="2" w:space="0" w:color="auto"/>
            </w:tcBorders>
            <w:vAlign w:val="center"/>
            <w:hideMark/>
          </w:tcPr>
          <w:p w:rsidR="0052116E" w:rsidRPr="0052116E" w:rsidRDefault="0052116E" w:rsidP="0052116E">
            <w:pPr>
              <w:spacing w:after="0" w:line="240" w:lineRule="auto"/>
              <w:jc w:val="both"/>
              <w:rPr>
                <w:rFonts w:eastAsia="Times New Roman" w:cstheme="minorHAnsi"/>
                <w:sz w:val="24"/>
                <w:szCs w:val="24"/>
              </w:rPr>
            </w:pPr>
            <w:r w:rsidRPr="0052116E">
              <w:rPr>
                <w:rFonts w:eastAsia="Times New Roman" w:cstheme="minorHAnsi"/>
                <w:sz w:val="24"/>
                <w:szCs w:val="24"/>
              </w:rPr>
              <w:t xml:space="preserve">Disability waiver </w:t>
            </w:r>
          </w:p>
        </w:tc>
        <w:tc>
          <w:tcPr>
            <w:tcW w:w="1281" w:type="dxa"/>
            <w:tcBorders>
              <w:top w:val="single" w:sz="2" w:space="0" w:color="auto"/>
              <w:left w:val="single" w:sz="2" w:space="0" w:color="auto"/>
              <w:bottom w:val="single" w:sz="2" w:space="0" w:color="auto"/>
              <w:right w:val="single" w:sz="2" w:space="0" w:color="auto"/>
            </w:tcBorders>
            <w:vAlign w:val="center"/>
            <w:hideMark/>
          </w:tcPr>
          <w:p w:rsidR="0052116E" w:rsidRPr="0052116E" w:rsidRDefault="0052116E" w:rsidP="0052116E">
            <w:pPr>
              <w:spacing w:after="0" w:line="240" w:lineRule="auto"/>
              <w:jc w:val="center"/>
              <w:rPr>
                <w:rFonts w:eastAsia="Times New Roman" w:cstheme="minorHAnsi"/>
                <w:sz w:val="24"/>
                <w:szCs w:val="24"/>
              </w:rPr>
            </w:pPr>
            <w:r w:rsidRPr="0052116E">
              <w:rPr>
                <w:rFonts w:eastAsia="Times New Roman" w:cstheme="minorHAnsi"/>
                <w:sz w:val="24"/>
                <w:szCs w:val="24"/>
              </w:rPr>
              <w:t>45 days</w:t>
            </w:r>
          </w:p>
        </w:tc>
      </w:tr>
      <w:tr w:rsidR="0052116E" w:rsidRPr="0052116E" w:rsidTr="0052116E">
        <w:tc>
          <w:tcPr>
            <w:tcW w:w="6390" w:type="dxa"/>
            <w:tcBorders>
              <w:top w:val="single" w:sz="2" w:space="0" w:color="auto"/>
              <w:left w:val="single" w:sz="2" w:space="0" w:color="auto"/>
              <w:bottom w:val="single" w:sz="2" w:space="0" w:color="auto"/>
              <w:right w:val="single" w:sz="2" w:space="0" w:color="auto"/>
            </w:tcBorders>
            <w:vAlign w:val="center"/>
            <w:hideMark/>
          </w:tcPr>
          <w:p w:rsidR="0052116E" w:rsidRPr="0052116E" w:rsidRDefault="0052116E" w:rsidP="0052116E">
            <w:pPr>
              <w:spacing w:after="0" w:line="240" w:lineRule="auto"/>
              <w:jc w:val="both"/>
              <w:rPr>
                <w:rFonts w:eastAsia="Times New Roman" w:cstheme="minorHAnsi"/>
                <w:sz w:val="24"/>
                <w:szCs w:val="24"/>
              </w:rPr>
            </w:pPr>
            <w:r w:rsidRPr="0052116E">
              <w:rPr>
                <w:rFonts w:eastAsia="Times New Roman" w:cstheme="minorHAnsi"/>
                <w:sz w:val="24"/>
                <w:szCs w:val="24"/>
              </w:rPr>
              <w:t>Eligibility, a self-payment, coverage for a Dependent, a COBRA issue, HRA, vacation/holiday, and sick leave benefits, a rescission of coverage issue, or other issue.</w:t>
            </w:r>
          </w:p>
        </w:tc>
        <w:tc>
          <w:tcPr>
            <w:tcW w:w="1281" w:type="dxa"/>
            <w:tcBorders>
              <w:top w:val="single" w:sz="2" w:space="0" w:color="auto"/>
              <w:left w:val="single" w:sz="2" w:space="0" w:color="auto"/>
              <w:bottom w:val="single" w:sz="2" w:space="0" w:color="auto"/>
              <w:right w:val="single" w:sz="2" w:space="0" w:color="auto"/>
            </w:tcBorders>
            <w:vAlign w:val="center"/>
            <w:hideMark/>
          </w:tcPr>
          <w:p w:rsidR="0052116E" w:rsidRPr="0052116E" w:rsidRDefault="0052116E" w:rsidP="0052116E">
            <w:pPr>
              <w:spacing w:after="0" w:line="240" w:lineRule="auto"/>
              <w:jc w:val="center"/>
              <w:rPr>
                <w:rFonts w:eastAsia="Times New Roman" w:cstheme="minorHAnsi"/>
                <w:sz w:val="24"/>
                <w:szCs w:val="24"/>
              </w:rPr>
            </w:pPr>
            <w:r w:rsidRPr="0052116E">
              <w:rPr>
                <w:rFonts w:eastAsia="Times New Roman" w:cstheme="minorHAnsi"/>
                <w:sz w:val="24"/>
                <w:szCs w:val="24"/>
              </w:rPr>
              <w:t>90 days</w:t>
            </w:r>
          </w:p>
        </w:tc>
      </w:tr>
    </w:tbl>
    <w:p w:rsidR="0052116E" w:rsidRPr="0052116E" w:rsidRDefault="0052116E" w:rsidP="0052116E">
      <w:pPr>
        <w:spacing w:after="0" w:line="240" w:lineRule="auto"/>
        <w:ind w:left="1080" w:right="720"/>
        <w:jc w:val="both"/>
        <w:rPr>
          <w:rFonts w:eastAsiaTheme="minorHAnsi" w:cstheme="minorHAnsi"/>
          <w:sz w:val="24"/>
          <w:szCs w:val="24"/>
        </w:rPr>
      </w:pPr>
    </w:p>
    <w:p w:rsidR="0052116E" w:rsidRPr="00222A50" w:rsidRDefault="0052116E" w:rsidP="0052116E">
      <w:pPr>
        <w:spacing w:after="0" w:line="240" w:lineRule="auto"/>
        <w:ind w:left="1080" w:right="720"/>
        <w:jc w:val="both"/>
        <w:rPr>
          <w:rFonts w:cstheme="minorHAnsi"/>
          <w:sz w:val="24"/>
          <w:szCs w:val="24"/>
        </w:rPr>
      </w:pPr>
    </w:p>
    <w:p w:rsidR="00222A50" w:rsidRPr="00222A50" w:rsidRDefault="00222A50" w:rsidP="00222A50">
      <w:pPr>
        <w:keepNext/>
        <w:numPr>
          <w:ilvl w:val="0"/>
          <w:numId w:val="13"/>
        </w:numPr>
        <w:spacing w:after="0" w:line="240" w:lineRule="auto"/>
        <w:ind w:left="0" w:firstLine="0"/>
        <w:jc w:val="both"/>
        <w:rPr>
          <w:rFonts w:cstheme="minorHAnsi"/>
          <w:sz w:val="24"/>
          <w:szCs w:val="24"/>
        </w:rPr>
      </w:pPr>
      <w:r w:rsidRPr="00222A50">
        <w:rPr>
          <w:rFonts w:cstheme="minorHAnsi"/>
          <w:sz w:val="24"/>
          <w:szCs w:val="24"/>
        </w:rPr>
        <w:t>On page 73 of the Benefit Booklet, subparagraph (f) is amended to read as follows:</w:t>
      </w:r>
    </w:p>
    <w:p w:rsidR="00222A50" w:rsidRDefault="00222A50" w:rsidP="00222A50">
      <w:pPr>
        <w:ind w:left="1440" w:right="720" w:hanging="360"/>
        <w:jc w:val="both"/>
        <w:rPr>
          <w:rFonts w:cstheme="minorHAnsi"/>
          <w:sz w:val="24"/>
          <w:szCs w:val="24"/>
        </w:rPr>
      </w:pPr>
    </w:p>
    <w:p w:rsidR="00222A50" w:rsidRPr="00222A50" w:rsidRDefault="00222A50" w:rsidP="00222A50">
      <w:pPr>
        <w:ind w:left="1440" w:right="720" w:hanging="360"/>
        <w:jc w:val="both"/>
        <w:rPr>
          <w:rFonts w:cstheme="minorHAnsi"/>
          <w:sz w:val="24"/>
          <w:szCs w:val="24"/>
        </w:rPr>
      </w:pPr>
      <w:r w:rsidRPr="00222A50">
        <w:rPr>
          <w:rFonts w:cstheme="minorHAnsi"/>
          <w:sz w:val="24"/>
          <w:szCs w:val="24"/>
        </w:rPr>
        <w:t>(f)</w:t>
      </w:r>
      <w:r w:rsidRPr="00222A50">
        <w:rPr>
          <w:rFonts w:cstheme="minorHAnsi"/>
          <w:sz w:val="24"/>
          <w:szCs w:val="24"/>
        </w:rPr>
        <w:tab/>
        <w:t>Disposable diabetic testing supplies, test strips, testing agents, lancet and testing units (limit one per Covered Person per year).  Test strips are limited to 200 during a thirty (30) day period unless Your Provider can demonstrate that more are needed.  Call Caremark Customer Service at (866) 818-6911 to determine how to obtain authorization for more than 200 test strips during a thirty (30) day period.</w:t>
      </w:r>
    </w:p>
    <w:p w:rsidR="00222A50" w:rsidRPr="00222A50" w:rsidRDefault="00222A50" w:rsidP="00222A50">
      <w:pPr>
        <w:keepNext/>
        <w:numPr>
          <w:ilvl w:val="0"/>
          <w:numId w:val="13"/>
        </w:numPr>
        <w:spacing w:after="0" w:line="240" w:lineRule="auto"/>
        <w:ind w:left="0" w:firstLine="0"/>
        <w:jc w:val="both"/>
        <w:rPr>
          <w:rFonts w:cstheme="minorHAnsi"/>
          <w:sz w:val="24"/>
          <w:szCs w:val="24"/>
        </w:rPr>
      </w:pPr>
      <w:r w:rsidRPr="00222A50">
        <w:rPr>
          <w:rFonts w:cstheme="minorHAnsi"/>
          <w:sz w:val="24"/>
          <w:szCs w:val="24"/>
        </w:rPr>
        <w:t>On page 74 of the Benefit Booklet, a new subparagraph (n) is added to read as follows:</w:t>
      </w:r>
    </w:p>
    <w:p w:rsidR="00222A50" w:rsidRPr="00222A50" w:rsidRDefault="00222A50" w:rsidP="00222A50">
      <w:pPr>
        <w:keepNext/>
        <w:jc w:val="both"/>
        <w:rPr>
          <w:rFonts w:cstheme="minorHAnsi"/>
          <w:sz w:val="24"/>
          <w:szCs w:val="24"/>
        </w:rPr>
      </w:pPr>
    </w:p>
    <w:p w:rsidR="00222A50" w:rsidRPr="00222A50" w:rsidRDefault="00222A50" w:rsidP="00222A50">
      <w:pPr>
        <w:ind w:left="1440" w:right="720" w:hanging="360"/>
        <w:jc w:val="both"/>
        <w:rPr>
          <w:rFonts w:cstheme="minorHAnsi"/>
          <w:sz w:val="24"/>
          <w:szCs w:val="24"/>
        </w:rPr>
      </w:pPr>
      <w:r w:rsidRPr="00222A50">
        <w:rPr>
          <w:rFonts w:cstheme="minorHAnsi"/>
          <w:sz w:val="24"/>
          <w:szCs w:val="24"/>
        </w:rPr>
        <w:t>(n)</w:t>
      </w:r>
      <w:r w:rsidRPr="00222A50">
        <w:rPr>
          <w:rFonts w:cstheme="minorHAnsi"/>
          <w:sz w:val="24"/>
          <w:szCs w:val="24"/>
        </w:rPr>
        <w:tab/>
        <w:t>Brand name formulary and non-formulary drugs that have an authorized generic.  Authorized generic means the generic is identical to the brand name formulary or non-formulary drug, but has a lower cost.</w:t>
      </w:r>
    </w:p>
    <w:p w:rsidR="00222A50" w:rsidRPr="00222A50" w:rsidRDefault="00222A50" w:rsidP="00222A50">
      <w:pPr>
        <w:keepNext/>
        <w:numPr>
          <w:ilvl w:val="0"/>
          <w:numId w:val="13"/>
        </w:numPr>
        <w:spacing w:after="0" w:line="240" w:lineRule="auto"/>
        <w:ind w:left="0" w:firstLine="0"/>
        <w:jc w:val="both"/>
        <w:rPr>
          <w:rFonts w:cstheme="minorHAnsi"/>
          <w:sz w:val="24"/>
          <w:szCs w:val="24"/>
        </w:rPr>
      </w:pPr>
      <w:r w:rsidRPr="00222A50">
        <w:rPr>
          <w:rFonts w:cstheme="minorHAnsi"/>
          <w:sz w:val="24"/>
          <w:szCs w:val="24"/>
        </w:rPr>
        <w:t xml:space="preserve">On page 76 of the Benefit Booklet, immediately before the heading </w:t>
      </w:r>
      <w:r w:rsidRPr="00222A50">
        <w:rPr>
          <w:rFonts w:cstheme="minorHAnsi"/>
          <w:b/>
          <w:sz w:val="24"/>
          <w:szCs w:val="24"/>
        </w:rPr>
        <w:t>Prior Authorization Requirement for Compound Prescription Drugs that Exceed $500</w:t>
      </w:r>
      <w:r w:rsidRPr="00222A50">
        <w:rPr>
          <w:rFonts w:cstheme="minorHAnsi"/>
          <w:sz w:val="24"/>
          <w:szCs w:val="24"/>
        </w:rPr>
        <w:t>, a new paragraph is added to read as follows:</w:t>
      </w:r>
    </w:p>
    <w:p w:rsidR="00222A50" w:rsidRPr="00222A50" w:rsidRDefault="00222A50" w:rsidP="00222A50">
      <w:pPr>
        <w:keepNext/>
        <w:jc w:val="both"/>
        <w:rPr>
          <w:rFonts w:cstheme="minorHAnsi"/>
          <w:sz w:val="24"/>
          <w:szCs w:val="24"/>
        </w:rPr>
      </w:pPr>
    </w:p>
    <w:p w:rsidR="00222A50" w:rsidRPr="00222A50" w:rsidRDefault="00222A50" w:rsidP="00222A50">
      <w:pPr>
        <w:ind w:left="1080" w:right="720"/>
        <w:jc w:val="both"/>
        <w:rPr>
          <w:rFonts w:cstheme="minorHAnsi"/>
          <w:sz w:val="24"/>
          <w:szCs w:val="24"/>
        </w:rPr>
      </w:pPr>
      <w:r w:rsidRPr="00222A50">
        <w:rPr>
          <w:rFonts w:cstheme="minorHAnsi"/>
          <w:sz w:val="24"/>
          <w:szCs w:val="24"/>
        </w:rPr>
        <w:t xml:space="preserve">Prior clinical authorization is also required for any non-specialty drug that costs more than $1,500 for a thirty (30) day supply.  </w:t>
      </w:r>
    </w:p>
    <w:p w:rsidR="00222A50" w:rsidRPr="00222A50" w:rsidRDefault="00222A50" w:rsidP="00222A50">
      <w:pPr>
        <w:keepNext/>
        <w:numPr>
          <w:ilvl w:val="0"/>
          <w:numId w:val="13"/>
        </w:numPr>
        <w:spacing w:after="0" w:line="240" w:lineRule="auto"/>
        <w:ind w:left="0" w:firstLine="0"/>
        <w:jc w:val="both"/>
        <w:rPr>
          <w:rFonts w:cstheme="minorHAnsi"/>
          <w:sz w:val="24"/>
          <w:szCs w:val="24"/>
        </w:rPr>
      </w:pPr>
      <w:r w:rsidRPr="00222A50">
        <w:rPr>
          <w:rFonts w:cstheme="minorHAnsi"/>
          <w:sz w:val="24"/>
          <w:szCs w:val="24"/>
        </w:rPr>
        <w:lastRenderedPageBreak/>
        <w:t>On page 77 of the Benefit Booklet, the last section is amended and a new paragraph is added at the end of page 77 to read as follows:</w:t>
      </w:r>
    </w:p>
    <w:p w:rsidR="00222A50" w:rsidRPr="00222A50" w:rsidRDefault="00222A50" w:rsidP="00222A50">
      <w:pPr>
        <w:keepNext/>
        <w:jc w:val="both"/>
        <w:rPr>
          <w:rFonts w:cstheme="minorHAnsi"/>
          <w:sz w:val="24"/>
          <w:szCs w:val="24"/>
        </w:rPr>
      </w:pPr>
    </w:p>
    <w:p w:rsidR="00222A50" w:rsidRPr="00222A50" w:rsidRDefault="00222A50" w:rsidP="00222A50">
      <w:pPr>
        <w:ind w:left="1080" w:right="720"/>
        <w:jc w:val="both"/>
        <w:rPr>
          <w:rFonts w:cstheme="minorHAnsi"/>
          <w:sz w:val="24"/>
          <w:szCs w:val="24"/>
        </w:rPr>
      </w:pPr>
      <w:r w:rsidRPr="00222A50">
        <w:rPr>
          <w:rFonts w:cstheme="minorHAnsi"/>
          <w:b/>
          <w:sz w:val="24"/>
          <w:szCs w:val="24"/>
        </w:rPr>
        <w:t>Quantity Limitation Program</w:t>
      </w:r>
      <w:r w:rsidRPr="00222A50">
        <w:rPr>
          <w:rFonts w:cstheme="minorHAnsi"/>
          <w:sz w:val="24"/>
          <w:szCs w:val="24"/>
        </w:rPr>
        <w:t xml:space="preserve">. There may be instances where the pharmacy will dispense less than a 30-day or 90-day supply of a Prescription Drug. The Quantity Limitation Program manages the quantity of a Prescription Drug You can receive. The quantity of a Prescription Drug may be limited to less than a 30-day or 90-day supply based upon current medical findings, manufacturer-labeling information and/or Food and Drug Administration guidelines. The Quantity Limitation Program </w:t>
      </w:r>
      <w:proofErr w:type="gramStart"/>
      <w:r w:rsidRPr="00222A50">
        <w:rPr>
          <w:rFonts w:cstheme="minorHAnsi"/>
          <w:sz w:val="24"/>
          <w:szCs w:val="24"/>
        </w:rPr>
        <w:t>targets</w:t>
      </w:r>
      <w:proofErr w:type="gramEnd"/>
      <w:r w:rsidRPr="00222A50">
        <w:rPr>
          <w:rFonts w:cstheme="minorHAnsi"/>
          <w:sz w:val="24"/>
          <w:szCs w:val="24"/>
        </w:rPr>
        <w:t xml:space="preserve"> Prescription Drugs that are not used on a daily basis but on a per episode basis, or that are highly addictive. Examples include Prescription Drugs for nausea and vomiting, migraine headaches, erectile dysfunction and acute pain. Prescriptions may be limited to a specific number of doses per month or per fill or by number of days’ supply You can receive at one time.</w:t>
      </w:r>
    </w:p>
    <w:p w:rsidR="00222A50" w:rsidRPr="00222A50" w:rsidRDefault="00222A50" w:rsidP="00222A50">
      <w:pPr>
        <w:ind w:left="1080" w:right="720"/>
        <w:jc w:val="both"/>
        <w:rPr>
          <w:rFonts w:cstheme="minorHAnsi"/>
          <w:sz w:val="24"/>
          <w:szCs w:val="24"/>
        </w:rPr>
      </w:pPr>
      <w:r w:rsidRPr="00222A50">
        <w:rPr>
          <w:rFonts w:cstheme="minorHAnsi"/>
          <w:sz w:val="24"/>
          <w:szCs w:val="24"/>
        </w:rPr>
        <w:t xml:space="preserve">The Plan limits opioids (such as OxyContin, Vicodin, fentanyl, and morphine) to a seven (7) day supply or less depending on the medical condition.  A supply greater than seven (7) days may be allowed based on medical need and Prior Clinical Authorization.  See page 76 for the Prior Clinical Authorization procedures.  </w:t>
      </w:r>
    </w:p>
    <w:sectPr w:rsidR="00222A50" w:rsidRPr="00222A50" w:rsidSect="004949C2">
      <w:footerReference w:type="default" r:id="rId8"/>
      <w:headerReference w:type="first" r:id="rId9"/>
      <w:footerReference w:type="first" r:id="rId10"/>
      <w:pgSz w:w="12240" w:h="15840"/>
      <w:pgMar w:top="225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116E" w:rsidRDefault="0052116E" w:rsidP="008B3136">
      <w:pPr>
        <w:spacing w:after="0" w:line="240" w:lineRule="auto"/>
      </w:pPr>
      <w:r>
        <w:separator/>
      </w:r>
    </w:p>
  </w:endnote>
  <w:endnote w:type="continuationSeparator" w:id="0">
    <w:p w:rsidR="0052116E" w:rsidRDefault="0052116E" w:rsidP="008B3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34B" w:rsidRPr="009110C7" w:rsidRDefault="002B234B" w:rsidP="002B234B">
    <w:pPr>
      <w:pStyle w:val="Header"/>
      <w:tabs>
        <w:tab w:val="left" w:pos="0"/>
      </w:tabs>
      <w:jc w:val="center"/>
      <w:rPr>
        <w:b/>
        <w:sz w:val="20"/>
        <w:szCs w:val="20"/>
      </w:rPr>
    </w:pPr>
    <w:r w:rsidRPr="009110C7">
      <w:rPr>
        <w:b/>
        <w:sz w:val="20"/>
        <w:szCs w:val="20"/>
      </w:rPr>
      <w:t>PMB #116</w:t>
    </w:r>
    <w:r>
      <w:rPr>
        <w:b/>
        <w:sz w:val="20"/>
        <w:szCs w:val="20"/>
      </w:rPr>
      <w:t>,</w:t>
    </w:r>
    <w:r w:rsidRPr="002B234B">
      <w:rPr>
        <w:b/>
        <w:sz w:val="24"/>
        <w:szCs w:val="24"/>
      </w:rPr>
      <w:t xml:space="preserve"> ·</w:t>
    </w:r>
    <w:r w:rsidRPr="009110C7">
      <w:rPr>
        <w:b/>
        <w:sz w:val="20"/>
        <w:szCs w:val="20"/>
      </w:rPr>
      <w:t xml:space="preserve"> 5331 SW Macadam Avenue Suite 258, </w:t>
    </w:r>
    <w:r w:rsidRPr="002B234B">
      <w:rPr>
        <w:b/>
        <w:sz w:val="24"/>
        <w:szCs w:val="24"/>
      </w:rPr>
      <w:t>·</w:t>
    </w:r>
    <w:r w:rsidRPr="009110C7">
      <w:rPr>
        <w:b/>
        <w:sz w:val="20"/>
        <w:szCs w:val="20"/>
      </w:rPr>
      <w:t xml:space="preserve"> Portland, OR 97239</w:t>
    </w:r>
  </w:p>
  <w:p w:rsidR="002B234B" w:rsidRPr="009110C7" w:rsidRDefault="002B234B" w:rsidP="002B234B">
    <w:pPr>
      <w:pStyle w:val="Footer"/>
      <w:overflowPunct w:val="0"/>
      <w:autoSpaceDE w:val="0"/>
      <w:autoSpaceDN w:val="0"/>
      <w:adjustRightInd w:val="0"/>
      <w:jc w:val="center"/>
      <w:textAlignment w:val="baseline"/>
      <w:rPr>
        <w:b/>
        <w:sz w:val="20"/>
        <w:szCs w:val="20"/>
      </w:rPr>
    </w:pPr>
    <w:r w:rsidRPr="009110C7">
      <w:rPr>
        <w:b/>
        <w:sz w:val="20"/>
        <w:szCs w:val="20"/>
      </w:rPr>
      <w:t xml:space="preserve"> Toll Free (800) 205-7002    Fax (503) 228-0149</w:t>
    </w:r>
  </w:p>
  <w:p w:rsidR="002B234B" w:rsidRPr="009110C7" w:rsidRDefault="00153718" w:rsidP="002B234B">
    <w:pPr>
      <w:pStyle w:val="Footer"/>
      <w:overflowPunct w:val="0"/>
      <w:autoSpaceDE w:val="0"/>
      <w:autoSpaceDN w:val="0"/>
      <w:adjustRightInd w:val="0"/>
      <w:jc w:val="center"/>
      <w:textAlignment w:val="baseline"/>
      <w:rPr>
        <w:b/>
        <w:sz w:val="20"/>
        <w:szCs w:val="20"/>
      </w:rPr>
    </w:pPr>
    <w:hyperlink r:id="rId1" w:history="1">
      <w:r w:rsidR="002B234B" w:rsidRPr="009110C7">
        <w:rPr>
          <w:rStyle w:val="Hyperlink"/>
          <w:b/>
          <w:color w:val="auto"/>
          <w:sz w:val="20"/>
          <w:szCs w:val="20"/>
        </w:rPr>
        <w:t>www.UA598benefits.</w:t>
      </w:r>
    </w:hyperlink>
    <w:r w:rsidR="002B234B" w:rsidRPr="009110C7">
      <w:rPr>
        <w:rStyle w:val="Hyperlink"/>
        <w:b/>
        <w:color w:val="auto"/>
        <w:sz w:val="20"/>
        <w:szCs w:val="20"/>
      </w:rPr>
      <w:t>org</w:t>
    </w:r>
  </w:p>
  <w:p w:rsidR="008B3136" w:rsidRPr="009110C7" w:rsidRDefault="008B3136" w:rsidP="008B3136">
    <w:pPr>
      <w:pStyle w:val="Footer"/>
      <w:overflowPunct w:val="0"/>
      <w:autoSpaceDE w:val="0"/>
      <w:autoSpaceDN w:val="0"/>
      <w:adjustRightInd w:val="0"/>
      <w:jc w:val="center"/>
      <w:textAlignment w:val="baseline"/>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3136" w:rsidRPr="009110C7" w:rsidRDefault="008B3136" w:rsidP="0016077D">
    <w:pPr>
      <w:pStyle w:val="Header"/>
      <w:tabs>
        <w:tab w:val="left" w:pos="0"/>
      </w:tabs>
      <w:jc w:val="center"/>
      <w:rPr>
        <w:b/>
        <w:sz w:val="20"/>
        <w:szCs w:val="20"/>
      </w:rPr>
    </w:pPr>
    <w:r w:rsidRPr="009110C7">
      <w:rPr>
        <w:b/>
        <w:sz w:val="20"/>
        <w:szCs w:val="20"/>
      </w:rPr>
      <w:t>PMB #116</w:t>
    </w:r>
    <w:r w:rsidR="00006114">
      <w:rPr>
        <w:b/>
        <w:sz w:val="20"/>
        <w:szCs w:val="20"/>
      </w:rPr>
      <w:t>,</w:t>
    </w:r>
    <w:r w:rsidR="002B234B" w:rsidRPr="002B234B">
      <w:rPr>
        <w:b/>
        <w:sz w:val="24"/>
        <w:szCs w:val="24"/>
      </w:rPr>
      <w:t xml:space="preserve"> ·</w:t>
    </w:r>
    <w:r w:rsidRPr="009110C7">
      <w:rPr>
        <w:b/>
        <w:sz w:val="20"/>
        <w:szCs w:val="20"/>
      </w:rPr>
      <w:t xml:space="preserve"> 5331 SW Macadam Avenue Suite 258, </w:t>
    </w:r>
    <w:r w:rsidR="002B234B" w:rsidRPr="002B234B">
      <w:rPr>
        <w:b/>
        <w:sz w:val="24"/>
        <w:szCs w:val="24"/>
      </w:rPr>
      <w:t>·</w:t>
    </w:r>
    <w:r w:rsidR="002B234B" w:rsidRPr="009110C7">
      <w:rPr>
        <w:b/>
        <w:sz w:val="20"/>
        <w:szCs w:val="20"/>
      </w:rPr>
      <w:t xml:space="preserve"> </w:t>
    </w:r>
    <w:r w:rsidRPr="009110C7">
      <w:rPr>
        <w:b/>
        <w:sz w:val="20"/>
        <w:szCs w:val="20"/>
      </w:rPr>
      <w:t>Portland, OR 97239</w:t>
    </w:r>
  </w:p>
  <w:p w:rsidR="008B3136" w:rsidRPr="009110C7" w:rsidRDefault="002278AE" w:rsidP="008B3136">
    <w:pPr>
      <w:pStyle w:val="Footer"/>
      <w:overflowPunct w:val="0"/>
      <w:autoSpaceDE w:val="0"/>
      <w:autoSpaceDN w:val="0"/>
      <w:adjustRightInd w:val="0"/>
      <w:jc w:val="center"/>
      <w:textAlignment w:val="baseline"/>
      <w:rPr>
        <w:b/>
        <w:sz w:val="20"/>
        <w:szCs w:val="20"/>
      </w:rPr>
    </w:pPr>
    <w:r w:rsidRPr="009110C7">
      <w:rPr>
        <w:b/>
        <w:sz w:val="20"/>
        <w:szCs w:val="20"/>
      </w:rPr>
      <w:t xml:space="preserve"> Toll Free </w:t>
    </w:r>
    <w:r w:rsidR="008B3136" w:rsidRPr="009110C7">
      <w:rPr>
        <w:b/>
        <w:sz w:val="20"/>
        <w:szCs w:val="20"/>
      </w:rPr>
      <w:t xml:space="preserve">(800) </w:t>
    </w:r>
    <w:r w:rsidRPr="009110C7">
      <w:rPr>
        <w:b/>
        <w:sz w:val="20"/>
        <w:szCs w:val="20"/>
      </w:rPr>
      <w:t>205</w:t>
    </w:r>
    <w:r w:rsidR="008B3136" w:rsidRPr="009110C7">
      <w:rPr>
        <w:b/>
        <w:sz w:val="20"/>
        <w:szCs w:val="20"/>
      </w:rPr>
      <w:t>-</w:t>
    </w:r>
    <w:r w:rsidRPr="009110C7">
      <w:rPr>
        <w:b/>
        <w:sz w:val="20"/>
        <w:szCs w:val="20"/>
      </w:rPr>
      <w:t>7002</w:t>
    </w:r>
    <w:r w:rsidR="008B3136" w:rsidRPr="009110C7">
      <w:rPr>
        <w:b/>
        <w:sz w:val="20"/>
        <w:szCs w:val="20"/>
      </w:rPr>
      <w:t xml:space="preserve">    Fax (503) 228-0149</w:t>
    </w:r>
  </w:p>
  <w:p w:rsidR="008B3136" w:rsidRPr="009110C7" w:rsidRDefault="00153718" w:rsidP="008B3136">
    <w:pPr>
      <w:pStyle w:val="Footer"/>
      <w:overflowPunct w:val="0"/>
      <w:autoSpaceDE w:val="0"/>
      <w:autoSpaceDN w:val="0"/>
      <w:adjustRightInd w:val="0"/>
      <w:jc w:val="center"/>
      <w:textAlignment w:val="baseline"/>
      <w:rPr>
        <w:b/>
        <w:sz w:val="20"/>
        <w:szCs w:val="20"/>
      </w:rPr>
    </w:pPr>
    <w:hyperlink r:id="rId1" w:history="1">
      <w:r w:rsidR="0016077D" w:rsidRPr="009110C7">
        <w:rPr>
          <w:rStyle w:val="Hyperlink"/>
          <w:b/>
          <w:color w:val="auto"/>
          <w:sz w:val="20"/>
          <w:szCs w:val="20"/>
        </w:rPr>
        <w:t>www.UA598benefits.</w:t>
      </w:r>
    </w:hyperlink>
    <w:r w:rsidR="0016077D" w:rsidRPr="009110C7">
      <w:rPr>
        <w:rStyle w:val="Hyperlink"/>
        <w:b/>
        <w:color w:val="auto"/>
        <w:sz w:val="20"/>
        <w:szCs w:val="20"/>
      </w:rPr>
      <w:t>org</w:t>
    </w:r>
  </w:p>
  <w:p w:rsidR="002278AE" w:rsidRDefault="002278AE" w:rsidP="008B3136">
    <w:pPr>
      <w:pStyle w:val="Footer"/>
      <w:overflowPunct w:val="0"/>
      <w:autoSpaceDE w:val="0"/>
      <w:autoSpaceDN w:val="0"/>
      <w:adjustRightInd w:val="0"/>
      <w:jc w:val="center"/>
      <w:textAlignment w:val="baseline"/>
      <w:rPr>
        <w:rFonts w:ascii="Book Antiqua" w:hAnsi="Book Antiqua"/>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116E" w:rsidRDefault="0052116E" w:rsidP="008B3136">
      <w:pPr>
        <w:spacing w:after="0" w:line="240" w:lineRule="auto"/>
      </w:pPr>
      <w:r>
        <w:separator/>
      </w:r>
    </w:p>
  </w:footnote>
  <w:footnote w:type="continuationSeparator" w:id="0">
    <w:p w:rsidR="0052116E" w:rsidRDefault="0052116E" w:rsidP="008B31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3136" w:rsidRPr="00EF2765" w:rsidRDefault="008B3136" w:rsidP="002B234B">
    <w:pPr>
      <w:spacing w:after="0"/>
      <w:jc w:val="center"/>
      <w:rPr>
        <w:b/>
        <w:sz w:val="36"/>
        <w:szCs w:val="36"/>
      </w:rPr>
    </w:pPr>
    <w:r w:rsidRPr="00EF2765">
      <w:rPr>
        <w:b/>
        <w:noProof/>
        <w:sz w:val="36"/>
        <w:szCs w:val="36"/>
      </w:rPr>
      <w:drawing>
        <wp:anchor distT="0" distB="0" distL="114300" distR="114300" simplePos="0" relativeHeight="251662336" behindDoc="1" locked="0" layoutInCell="1" allowOverlap="1">
          <wp:simplePos x="0" y="0"/>
          <wp:positionH relativeFrom="page">
            <wp:posOffset>382905</wp:posOffset>
          </wp:positionH>
          <wp:positionV relativeFrom="paragraph">
            <wp:posOffset>-253365</wp:posOffset>
          </wp:positionV>
          <wp:extent cx="1188280" cy="1188720"/>
          <wp:effectExtent l="1905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1188280" cy="1188720"/>
                  </a:xfrm>
                  <a:prstGeom prst="rect">
                    <a:avLst/>
                  </a:prstGeom>
                  <a:noFill/>
                </pic:spPr>
              </pic:pic>
            </a:graphicData>
          </a:graphic>
        </wp:anchor>
      </w:drawing>
    </w:r>
    <w:r w:rsidRPr="00EF2765">
      <w:rPr>
        <w:b/>
        <w:sz w:val="36"/>
        <w:szCs w:val="36"/>
      </w:rPr>
      <w:t>Local Union No. 598 Plumbing &amp; Pipefitting</w:t>
    </w:r>
  </w:p>
  <w:p w:rsidR="008B3136" w:rsidRPr="00EF2765" w:rsidRDefault="008B3136" w:rsidP="002B234B">
    <w:pPr>
      <w:spacing w:after="0"/>
      <w:jc w:val="center"/>
      <w:rPr>
        <w:b/>
        <w:sz w:val="36"/>
        <w:szCs w:val="36"/>
      </w:rPr>
    </w:pPr>
    <w:r w:rsidRPr="00EF2765">
      <w:rPr>
        <w:b/>
        <w:sz w:val="36"/>
        <w:szCs w:val="36"/>
      </w:rPr>
      <w:t>Industry Health &amp; Welfare Plan &amp; Trust</w:t>
    </w:r>
  </w:p>
  <w:p w:rsidR="008B3136" w:rsidRDefault="008B31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B5328"/>
    <w:multiLevelType w:val="hybridMultilevel"/>
    <w:tmpl w:val="77F094CE"/>
    <w:lvl w:ilvl="0" w:tplc="E0FCCB5E">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12B73262"/>
    <w:multiLevelType w:val="hybridMultilevel"/>
    <w:tmpl w:val="94CE4B56"/>
    <w:lvl w:ilvl="0" w:tplc="A978ED5A">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3036C1B"/>
    <w:multiLevelType w:val="hybridMultilevel"/>
    <w:tmpl w:val="AB1CCCFE"/>
    <w:lvl w:ilvl="0" w:tplc="149875C6">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252956FD"/>
    <w:multiLevelType w:val="hybridMultilevel"/>
    <w:tmpl w:val="176AC356"/>
    <w:lvl w:ilvl="0" w:tplc="213EC8E8">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2A553069"/>
    <w:multiLevelType w:val="hybridMultilevel"/>
    <w:tmpl w:val="0F66FF46"/>
    <w:lvl w:ilvl="0" w:tplc="F9F83556">
      <w:start w:val="1"/>
      <w:numFmt w:val="lowerLetter"/>
      <w:lvlText w:val="(%1)"/>
      <w:lvlJc w:val="left"/>
      <w:pPr>
        <w:ind w:left="1440" w:hanging="360"/>
      </w:pPr>
    </w:lvl>
    <w:lvl w:ilvl="1" w:tplc="55B68678">
      <w:start w:val="1"/>
      <w:numFmt w:val="decimal"/>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 w15:restartNumberingAfterBreak="0">
    <w:nsid w:val="2C2A086D"/>
    <w:multiLevelType w:val="hybridMultilevel"/>
    <w:tmpl w:val="F27E4F46"/>
    <w:lvl w:ilvl="0" w:tplc="0B6450F0">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5791A89"/>
    <w:multiLevelType w:val="hybridMultilevel"/>
    <w:tmpl w:val="DA64BB20"/>
    <w:lvl w:ilvl="0" w:tplc="0B6450F0">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DC36DE1"/>
    <w:multiLevelType w:val="hybridMultilevel"/>
    <w:tmpl w:val="5A2CE17A"/>
    <w:lvl w:ilvl="0" w:tplc="0B6450F0">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516A0A80"/>
    <w:multiLevelType w:val="hybridMultilevel"/>
    <w:tmpl w:val="48160C06"/>
    <w:lvl w:ilvl="0" w:tplc="C1B867B6">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 w15:restartNumberingAfterBreak="0">
    <w:nsid w:val="618A25BB"/>
    <w:multiLevelType w:val="hybridMultilevel"/>
    <w:tmpl w:val="A5D6A450"/>
    <w:lvl w:ilvl="0" w:tplc="430222E4">
      <w:start w:val="1"/>
      <w:numFmt w:val="decimal"/>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684A2A20"/>
    <w:multiLevelType w:val="hybridMultilevel"/>
    <w:tmpl w:val="94CE4B56"/>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16E"/>
    <w:rsid w:val="00006114"/>
    <w:rsid w:val="000331C8"/>
    <w:rsid w:val="00124586"/>
    <w:rsid w:val="00153718"/>
    <w:rsid w:val="00153F20"/>
    <w:rsid w:val="0016077D"/>
    <w:rsid w:val="00172BF7"/>
    <w:rsid w:val="001862B8"/>
    <w:rsid w:val="001B582E"/>
    <w:rsid w:val="001D18D7"/>
    <w:rsid w:val="00222A50"/>
    <w:rsid w:val="002278AE"/>
    <w:rsid w:val="002546E5"/>
    <w:rsid w:val="002B234B"/>
    <w:rsid w:val="00340B95"/>
    <w:rsid w:val="003520F0"/>
    <w:rsid w:val="0036179E"/>
    <w:rsid w:val="00392485"/>
    <w:rsid w:val="00482DC8"/>
    <w:rsid w:val="004949C2"/>
    <w:rsid w:val="004D0824"/>
    <w:rsid w:val="0051180A"/>
    <w:rsid w:val="0052116E"/>
    <w:rsid w:val="00526B7E"/>
    <w:rsid w:val="0056346F"/>
    <w:rsid w:val="005A1C60"/>
    <w:rsid w:val="006217D5"/>
    <w:rsid w:val="00624E30"/>
    <w:rsid w:val="00656C5D"/>
    <w:rsid w:val="00672BED"/>
    <w:rsid w:val="0069539E"/>
    <w:rsid w:val="006F39C1"/>
    <w:rsid w:val="00797D4F"/>
    <w:rsid w:val="008117D5"/>
    <w:rsid w:val="008B3136"/>
    <w:rsid w:val="008C7C43"/>
    <w:rsid w:val="008D056D"/>
    <w:rsid w:val="008E55B1"/>
    <w:rsid w:val="009110C7"/>
    <w:rsid w:val="00943C6A"/>
    <w:rsid w:val="00A12115"/>
    <w:rsid w:val="00A3282C"/>
    <w:rsid w:val="00A37B2A"/>
    <w:rsid w:val="00A86D6A"/>
    <w:rsid w:val="00AD07C4"/>
    <w:rsid w:val="00B2409B"/>
    <w:rsid w:val="00B657F7"/>
    <w:rsid w:val="00B74B53"/>
    <w:rsid w:val="00B815C4"/>
    <w:rsid w:val="00B828DD"/>
    <w:rsid w:val="00BA18E2"/>
    <w:rsid w:val="00BB54F6"/>
    <w:rsid w:val="00BD052A"/>
    <w:rsid w:val="00C61900"/>
    <w:rsid w:val="00CE7878"/>
    <w:rsid w:val="00D22F40"/>
    <w:rsid w:val="00D241F2"/>
    <w:rsid w:val="00D70931"/>
    <w:rsid w:val="00D7377E"/>
    <w:rsid w:val="00DB72C7"/>
    <w:rsid w:val="00DE0312"/>
    <w:rsid w:val="00EE4D4E"/>
    <w:rsid w:val="00EF2765"/>
    <w:rsid w:val="00F43D7D"/>
    <w:rsid w:val="00F75EB1"/>
    <w:rsid w:val="00F90D52"/>
    <w:rsid w:val="00FA244F"/>
    <w:rsid w:val="00FB4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B81C63"/>
  <w15:docId w15:val="{0DE6A751-2FEA-4166-B780-8C71D96A5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21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46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6E5"/>
    <w:rPr>
      <w:rFonts w:ascii="Tahoma" w:hAnsi="Tahoma" w:cs="Tahoma"/>
      <w:sz w:val="16"/>
      <w:szCs w:val="16"/>
    </w:rPr>
  </w:style>
  <w:style w:type="character" w:styleId="Hyperlink">
    <w:name w:val="Hyperlink"/>
    <w:basedOn w:val="DefaultParagraphFont"/>
    <w:uiPriority w:val="99"/>
    <w:unhideWhenUsed/>
    <w:rsid w:val="00797D4F"/>
    <w:rPr>
      <w:color w:val="0000FF" w:themeColor="hyperlink"/>
      <w:u w:val="single"/>
    </w:rPr>
  </w:style>
  <w:style w:type="paragraph" w:customStyle="1" w:styleId="Quick">
    <w:name w:val="Quick ל"/>
    <w:basedOn w:val="Normal"/>
    <w:rsid w:val="008E55B1"/>
    <w:pPr>
      <w:widowControl w:val="0"/>
      <w:spacing w:after="0" w:line="240" w:lineRule="auto"/>
    </w:pPr>
    <w:rPr>
      <w:rFonts w:ascii="Times New Roman" w:eastAsia="Times New Roman" w:hAnsi="Times New Roman" w:cs="Times New Roman"/>
      <w:sz w:val="24"/>
      <w:szCs w:val="20"/>
    </w:rPr>
  </w:style>
  <w:style w:type="paragraph" w:customStyle="1" w:styleId="a">
    <w:name w:val="آ"/>
    <w:basedOn w:val="Normal"/>
    <w:rsid w:val="008E55B1"/>
    <w:pPr>
      <w:widowControl w:val="0"/>
      <w:spacing w:after="0" w:line="240" w:lineRule="auto"/>
    </w:pPr>
    <w:rPr>
      <w:rFonts w:ascii="Times New Roman" w:eastAsia="Times New Roman" w:hAnsi="Times New Roman" w:cs="Times New Roman"/>
      <w:sz w:val="24"/>
      <w:szCs w:val="20"/>
    </w:rPr>
  </w:style>
  <w:style w:type="character" w:styleId="Strong">
    <w:name w:val="Strong"/>
    <w:basedOn w:val="DefaultParagraphFont"/>
    <w:qFormat/>
    <w:rsid w:val="008E55B1"/>
    <w:rPr>
      <w:b/>
      <w:bCs/>
    </w:rPr>
  </w:style>
  <w:style w:type="paragraph" w:styleId="Header">
    <w:name w:val="header"/>
    <w:basedOn w:val="Normal"/>
    <w:link w:val="HeaderChar"/>
    <w:unhideWhenUsed/>
    <w:rsid w:val="008B3136"/>
    <w:pPr>
      <w:tabs>
        <w:tab w:val="center" w:pos="4680"/>
        <w:tab w:val="right" w:pos="9360"/>
      </w:tabs>
      <w:spacing w:after="0" w:line="240" w:lineRule="auto"/>
    </w:pPr>
  </w:style>
  <w:style w:type="character" w:customStyle="1" w:styleId="HeaderChar">
    <w:name w:val="Header Char"/>
    <w:basedOn w:val="DefaultParagraphFont"/>
    <w:link w:val="Header"/>
    <w:rsid w:val="008B3136"/>
  </w:style>
  <w:style w:type="paragraph" w:styleId="Footer">
    <w:name w:val="footer"/>
    <w:basedOn w:val="Normal"/>
    <w:link w:val="FooterChar"/>
    <w:unhideWhenUsed/>
    <w:rsid w:val="008B3136"/>
    <w:pPr>
      <w:tabs>
        <w:tab w:val="center" w:pos="4680"/>
        <w:tab w:val="right" w:pos="9360"/>
      </w:tabs>
      <w:spacing w:after="0" w:line="240" w:lineRule="auto"/>
    </w:pPr>
  </w:style>
  <w:style w:type="character" w:customStyle="1" w:styleId="FooterChar">
    <w:name w:val="Footer Char"/>
    <w:basedOn w:val="DefaultParagraphFont"/>
    <w:link w:val="Footer"/>
    <w:rsid w:val="008B3136"/>
  </w:style>
  <w:style w:type="paragraph" w:styleId="ListParagraph">
    <w:name w:val="List Paragraph"/>
    <w:basedOn w:val="Normal"/>
    <w:uiPriority w:val="34"/>
    <w:qFormat/>
    <w:rsid w:val="0052116E"/>
    <w:pPr>
      <w:ind w:left="720"/>
      <w:contextualSpacing/>
    </w:pPr>
  </w:style>
  <w:style w:type="table" w:styleId="TableGrid">
    <w:name w:val="Table Grid"/>
    <w:basedOn w:val="TableNormal"/>
    <w:uiPriority w:val="59"/>
    <w:rsid w:val="0052116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687996">
      <w:bodyDiv w:val="1"/>
      <w:marLeft w:val="0"/>
      <w:marRight w:val="0"/>
      <w:marTop w:val="0"/>
      <w:marBottom w:val="0"/>
      <w:divBdr>
        <w:top w:val="none" w:sz="0" w:space="0" w:color="auto"/>
        <w:left w:val="none" w:sz="0" w:space="0" w:color="auto"/>
        <w:bottom w:val="none" w:sz="0" w:space="0" w:color="auto"/>
        <w:right w:val="none" w:sz="0" w:space="0" w:color="auto"/>
      </w:divBdr>
    </w:div>
    <w:div w:id="1423332050">
      <w:bodyDiv w:val="1"/>
      <w:marLeft w:val="0"/>
      <w:marRight w:val="0"/>
      <w:marTop w:val="0"/>
      <w:marBottom w:val="0"/>
      <w:divBdr>
        <w:top w:val="none" w:sz="0" w:space="0" w:color="auto"/>
        <w:left w:val="none" w:sz="0" w:space="0" w:color="auto"/>
        <w:bottom w:val="none" w:sz="0" w:space="0" w:color="auto"/>
        <w:right w:val="none" w:sz="0" w:space="0" w:color="auto"/>
      </w:divBdr>
    </w:div>
    <w:div w:id="201622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a598benefit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UA598benefit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UA598benefi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P:\PT00-Plumbers598\AdminAssistant\Stationery\LU%20598%20Health%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LU 598 Health Letterhead</Template>
  <TotalTime>30</TotalTime>
  <Pages>9</Pages>
  <Words>2491</Words>
  <Characters>14202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LU 598 Health Letterhead</vt:lpstr>
    </vt:vector>
  </TitlesOfParts>
  <Company/>
  <LinksUpToDate>false</LinksUpToDate>
  <CharactersWithSpaces>16660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 598 Health Letterhead</dc:title>
  <dc:creator>Centrone, Lee</dc:creator>
  <cp:lastModifiedBy>Centrone, Lee</cp:lastModifiedBy>
  <cp:revision>1</cp:revision>
  <cp:lastPrinted>2018-03-29T17:19:00Z</cp:lastPrinted>
  <dcterms:created xsi:type="dcterms:W3CDTF">2018-07-16T21:11:00Z</dcterms:created>
  <dcterms:modified xsi:type="dcterms:W3CDTF">2018-07-16T21:41:00Z</dcterms:modified>
</cp:coreProperties>
</file>