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D69619" w14:textId="77777777" w:rsidR="007A72F3" w:rsidRPr="007A72F3" w:rsidRDefault="007A72F3" w:rsidP="007A72F3">
      <w:pPr>
        <w:shd w:val="clear" w:color="auto" w:fill="FFFFFF"/>
        <w:spacing w:after="0" w:line="240" w:lineRule="auto"/>
        <w:textAlignment w:val="baseline"/>
        <w:outlineLvl w:val="0"/>
        <w:rPr>
          <w:rFonts w:ascii="Chivo" w:eastAsia="Times New Roman" w:hAnsi="Chivo" w:cs="Times New Roman"/>
          <w:color w:val="333333"/>
          <w:kern w:val="36"/>
          <w:sz w:val="75"/>
          <w:szCs w:val="75"/>
        </w:rPr>
      </w:pPr>
      <w:r w:rsidRPr="007A72F3">
        <w:rPr>
          <w:rFonts w:ascii="Chivo" w:eastAsia="Times New Roman" w:hAnsi="Chivo" w:cs="Times New Roman"/>
          <w:color w:val="333333"/>
          <w:kern w:val="36"/>
          <w:sz w:val="75"/>
          <w:szCs w:val="75"/>
        </w:rPr>
        <w:t>Transparency in Coverage Rule Pertaining to Payer Transparency Machine-readable Files (MRF)</w:t>
      </w:r>
    </w:p>
    <w:p w14:paraId="5FF18AB5" w14:textId="77777777" w:rsidR="00FE111B" w:rsidRDefault="00FE111B" w:rsidP="007A72F3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333333"/>
          <w:sz w:val="27"/>
          <w:szCs w:val="27"/>
        </w:rPr>
      </w:pPr>
    </w:p>
    <w:p w14:paraId="3548FF18" w14:textId="7807D7DF" w:rsidR="007A72F3" w:rsidRPr="007A72F3" w:rsidRDefault="007A72F3" w:rsidP="007A72F3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333333"/>
          <w:sz w:val="27"/>
          <w:szCs w:val="27"/>
        </w:rPr>
      </w:pPr>
      <w:r w:rsidRPr="007A72F3">
        <w:rPr>
          <w:rFonts w:ascii="Roboto" w:eastAsia="Times New Roman" w:hAnsi="Roboto" w:cs="Times New Roman"/>
          <w:color w:val="333333"/>
          <w:sz w:val="27"/>
          <w:szCs w:val="27"/>
        </w:rPr>
        <w:t xml:space="preserve">On July 1, 2022, the machine-readable file requirements of the federal government’s Transparency in Coverage Rule </w:t>
      </w:r>
      <w:r w:rsidR="009E611B">
        <w:rPr>
          <w:rFonts w:ascii="Roboto" w:eastAsia="Times New Roman" w:hAnsi="Roboto" w:cs="Times New Roman"/>
          <w:color w:val="333333"/>
          <w:sz w:val="27"/>
          <w:szCs w:val="27"/>
        </w:rPr>
        <w:t>took</w:t>
      </w:r>
      <w:r w:rsidRPr="007A72F3">
        <w:rPr>
          <w:rFonts w:ascii="Roboto" w:eastAsia="Times New Roman" w:hAnsi="Roboto" w:cs="Times New Roman"/>
          <w:color w:val="333333"/>
          <w:sz w:val="27"/>
          <w:szCs w:val="27"/>
        </w:rPr>
        <w:t xml:space="preserve"> effect. This rule requires health insurers and group health plans to make publicly available machine-readable files for:</w:t>
      </w:r>
    </w:p>
    <w:p w14:paraId="4C6F1688" w14:textId="77777777" w:rsidR="007A72F3" w:rsidRPr="007A72F3" w:rsidRDefault="007A72F3" w:rsidP="007A72F3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7"/>
          <w:szCs w:val="27"/>
        </w:rPr>
      </w:pPr>
      <w:r w:rsidRPr="007A72F3">
        <w:rPr>
          <w:rFonts w:ascii="inherit" w:eastAsia="Times New Roman" w:hAnsi="inherit" w:cs="Times New Roman"/>
          <w:color w:val="333333"/>
          <w:sz w:val="27"/>
          <w:szCs w:val="27"/>
        </w:rPr>
        <w:t>Negotiated rates for all covered items and services between the plan and in-network providers.  </w:t>
      </w:r>
    </w:p>
    <w:p w14:paraId="5CC03EF0" w14:textId="42C86C24" w:rsidR="007A72F3" w:rsidRDefault="007A72F3" w:rsidP="007A72F3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7"/>
          <w:szCs w:val="27"/>
        </w:rPr>
      </w:pPr>
      <w:r w:rsidRPr="007A72F3">
        <w:rPr>
          <w:rFonts w:ascii="inherit" w:eastAsia="Times New Roman" w:hAnsi="inherit" w:cs="Times New Roman"/>
          <w:color w:val="333333"/>
          <w:sz w:val="27"/>
          <w:szCs w:val="27"/>
        </w:rPr>
        <w:t>Historical payments to, and billed charges from, out-of-network providers for covered items and services.</w:t>
      </w:r>
    </w:p>
    <w:p w14:paraId="1DE98BB4" w14:textId="77777777" w:rsidR="009E611B" w:rsidRPr="007A72F3" w:rsidRDefault="009E611B" w:rsidP="009E611B">
      <w:pPr>
        <w:shd w:val="clear" w:color="auto" w:fill="FFFFFF"/>
        <w:spacing w:after="0" w:line="240" w:lineRule="auto"/>
        <w:ind w:left="720"/>
        <w:textAlignment w:val="baseline"/>
        <w:rPr>
          <w:rFonts w:ascii="inherit" w:eastAsia="Times New Roman" w:hAnsi="inherit" w:cs="Times New Roman"/>
          <w:color w:val="333333"/>
          <w:sz w:val="27"/>
          <w:szCs w:val="27"/>
        </w:rPr>
      </w:pPr>
    </w:p>
    <w:p w14:paraId="6302AAA6" w14:textId="2C82289D" w:rsidR="007A72F3" w:rsidRDefault="000966CB" w:rsidP="007A72F3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333333"/>
          <w:sz w:val="27"/>
          <w:szCs w:val="27"/>
        </w:rPr>
      </w:pPr>
      <w:proofErr w:type="spellStart"/>
      <w:r>
        <w:rPr>
          <w:rFonts w:ascii="Roboto" w:eastAsia="Times New Roman" w:hAnsi="Roboto" w:cs="Times New Roman"/>
          <w:color w:val="333333"/>
          <w:sz w:val="27"/>
          <w:szCs w:val="27"/>
        </w:rPr>
        <w:t>Benesys</w:t>
      </w:r>
      <w:proofErr w:type="spellEnd"/>
      <w:r w:rsidR="007A72F3" w:rsidRPr="007A72F3">
        <w:rPr>
          <w:rFonts w:ascii="Roboto" w:eastAsia="Times New Roman" w:hAnsi="Roboto" w:cs="Times New Roman"/>
          <w:color w:val="333333"/>
          <w:sz w:val="27"/>
          <w:szCs w:val="27"/>
        </w:rPr>
        <w:t xml:space="preserve"> can access </w:t>
      </w:r>
      <w:r w:rsidR="007A72F3">
        <w:rPr>
          <w:rFonts w:ascii="Roboto" w:eastAsia="Times New Roman" w:hAnsi="Roboto" w:cs="Times New Roman"/>
          <w:color w:val="333333"/>
          <w:sz w:val="27"/>
          <w:szCs w:val="27"/>
        </w:rPr>
        <w:t xml:space="preserve">the </w:t>
      </w:r>
      <w:r w:rsidR="007A72F3" w:rsidRPr="007A72F3">
        <w:rPr>
          <w:rFonts w:ascii="Roboto" w:eastAsia="Times New Roman" w:hAnsi="Roboto" w:cs="Times New Roman"/>
          <w:color w:val="333333"/>
          <w:sz w:val="27"/>
          <w:szCs w:val="27"/>
        </w:rPr>
        <w:t>machine-readable files from this page</w:t>
      </w:r>
      <w:r w:rsidR="007A72F3">
        <w:rPr>
          <w:rFonts w:ascii="Roboto" w:eastAsia="Times New Roman" w:hAnsi="Roboto" w:cs="Times New Roman"/>
          <w:color w:val="333333"/>
          <w:sz w:val="27"/>
          <w:szCs w:val="27"/>
        </w:rPr>
        <w:t xml:space="preserve">, by clicking the </w:t>
      </w:r>
      <w:r w:rsidR="009E611B">
        <w:rPr>
          <w:rFonts w:ascii="Roboto" w:eastAsia="Times New Roman" w:hAnsi="Roboto" w:cs="Times New Roman"/>
          <w:color w:val="333333"/>
          <w:sz w:val="27"/>
          <w:szCs w:val="27"/>
        </w:rPr>
        <w:t>following landing</w:t>
      </w:r>
      <w:r>
        <w:rPr>
          <w:rFonts w:ascii="Roboto" w:eastAsia="Times New Roman" w:hAnsi="Roboto" w:cs="Times New Roman"/>
          <w:color w:val="333333"/>
          <w:sz w:val="27"/>
          <w:szCs w:val="27"/>
        </w:rPr>
        <w:t xml:space="preserve"> </w:t>
      </w:r>
      <w:hyperlink r:id="rId5" w:history="1">
        <w:r w:rsidRPr="000966CB">
          <w:rPr>
            <w:rStyle w:val="Hyperlink"/>
            <w:rFonts w:ascii="Roboto" w:eastAsia="Times New Roman" w:hAnsi="Roboto" w:cs="Times New Roman"/>
            <w:sz w:val="27"/>
            <w:szCs w:val="27"/>
          </w:rPr>
          <w:t>https://www.hap.org/readable/benesys</w:t>
        </w:r>
      </w:hyperlink>
      <w:r w:rsidR="009E611B">
        <w:rPr>
          <w:rFonts w:ascii="Roboto" w:eastAsia="Times New Roman" w:hAnsi="Roboto" w:cs="Times New Roman"/>
          <w:color w:val="333333"/>
          <w:sz w:val="27"/>
          <w:szCs w:val="27"/>
        </w:rPr>
        <w:t xml:space="preserve"> </w:t>
      </w:r>
    </w:p>
    <w:p w14:paraId="2147CF09" w14:textId="5F92E3E0" w:rsidR="007A72F3" w:rsidRDefault="007A72F3" w:rsidP="007A72F3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333333"/>
          <w:sz w:val="27"/>
          <w:szCs w:val="27"/>
        </w:rPr>
      </w:pPr>
      <w:r>
        <w:rPr>
          <w:rFonts w:ascii="Roboto" w:eastAsia="Times New Roman" w:hAnsi="Roboto" w:cs="Times New Roman"/>
          <w:color w:val="333333"/>
          <w:sz w:val="27"/>
          <w:szCs w:val="27"/>
        </w:rPr>
        <w:tab/>
      </w:r>
      <w:r>
        <w:rPr>
          <w:rFonts w:ascii="Roboto" w:eastAsia="Times New Roman" w:hAnsi="Roboto" w:cs="Times New Roman"/>
          <w:color w:val="333333"/>
          <w:sz w:val="27"/>
          <w:szCs w:val="27"/>
        </w:rPr>
        <w:tab/>
      </w:r>
      <w:r>
        <w:rPr>
          <w:rFonts w:ascii="Roboto" w:eastAsia="Times New Roman" w:hAnsi="Roboto" w:cs="Times New Roman"/>
          <w:color w:val="333333"/>
          <w:sz w:val="27"/>
          <w:szCs w:val="27"/>
        </w:rPr>
        <w:tab/>
      </w:r>
      <w:r>
        <w:rPr>
          <w:rFonts w:ascii="Roboto" w:eastAsia="Times New Roman" w:hAnsi="Roboto" w:cs="Times New Roman"/>
          <w:color w:val="333333"/>
          <w:sz w:val="27"/>
          <w:szCs w:val="27"/>
        </w:rPr>
        <w:tab/>
      </w:r>
    </w:p>
    <w:p w14:paraId="40ED7208" w14:textId="44E5D3DA" w:rsidR="007A72F3" w:rsidRDefault="007A72F3" w:rsidP="007A72F3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333333"/>
          <w:sz w:val="27"/>
          <w:szCs w:val="27"/>
        </w:rPr>
      </w:pPr>
      <w:r w:rsidRPr="007A72F3">
        <w:rPr>
          <w:rFonts w:ascii="Roboto" w:eastAsia="Times New Roman" w:hAnsi="Roboto" w:cs="Times New Roman"/>
          <w:color w:val="333333"/>
          <w:sz w:val="27"/>
          <w:szCs w:val="27"/>
        </w:rPr>
        <w:t>Please feel free to bookmark this page for future reference.</w:t>
      </w:r>
    </w:p>
    <w:p w14:paraId="3FFD3062" w14:textId="77777777" w:rsidR="009E611B" w:rsidRDefault="009E611B" w:rsidP="007A72F3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333333"/>
          <w:sz w:val="27"/>
          <w:szCs w:val="27"/>
        </w:rPr>
      </w:pPr>
    </w:p>
    <w:p w14:paraId="036C1EAC" w14:textId="77777777" w:rsidR="007A72F3" w:rsidRPr="007A72F3" w:rsidRDefault="007A72F3" w:rsidP="007A72F3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333333"/>
          <w:sz w:val="27"/>
          <w:szCs w:val="27"/>
        </w:rPr>
      </w:pPr>
    </w:p>
    <w:sectPr w:rsidR="007A72F3" w:rsidRPr="007A72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hivo">
    <w:panose1 w:val="020B0503030202020804"/>
    <w:charset w:val="00"/>
    <w:family w:val="swiss"/>
    <w:pitch w:val="variable"/>
    <w:sig w:usb0="00000007" w:usb1="00000000" w:usb2="00000000" w:usb3="00000000" w:csb0="00000093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580CB3"/>
    <w:multiLevelType w:val="multilevel"/>
    <w:tmpl w:val="A7BC4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66583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2F3"/>
    <w:rsid w:val="000966CB"/>
    <w:rsid w:val="002F05AC"/>
    <w:rsid w:val="00494629"/>
    <w:rsid w:val="007A72F3"/>
    <w:rsid w:val="009B12ED"/>
    <w:rsid w:val="009E611B"/>
    <w:rsid w:val="00E13D7F"/>
    <w:rsid w:val="00FB4AC6"/>
    <w:rsid w:val="00FE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C68BF"/>
  <w15:chartTrackingRefBased/>
  <w15:docId w15:val="{3B7927C5-79CE-4AAD-9F8F-543A78C10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A72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72F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7A72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A72F3"/>
    <w:rPr>
      <w:color w:val="0000FF"/>
      <w:u w:val="single"/>
    </w:rPr>
  </w:style>
  <w:style w:type="paragraph" w:customStyle="1" w:styleId="xmsonormal">
    <w:name w:val="x_msonormal"/>
    <w:basedOn w:val="Normal"/>
    <w:rsid w:val="007A72F3"/>
    <w:pPr>
      <w:spacing w:after="0" w:line="240" w:lineRule="auto"/>
    </w:pPr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0966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9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8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07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49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24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58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5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hap.org/readable/benesy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Little, Sherry</dc:creator>
  <cp:keywords/>
  <dc:description/>
  <cp:lastModifiedBy>Little, Sherry</cp:lastModifiedBy>
  <cp:revision>4</cp:revision>
  <dcterms:created xsi:type="dcterms:W3CDTF">2024-10-22T20:50:00Z</dcterms:created>
  <dcterms:modified xsi:type="dcterms:W3CDTF">2024-10-22T20:50:00Z</dcterms:modified>
</cp:coreProperties>
</file>